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1516" w14:textId="77777777" w:rsidR="0070483E" w:rsidRDefault="0070483E">
      <w:pPr>
        <w:tabs>
          <w:tab w:val="left" w:pos="0"/>
          <w:tab w:val="right" w:pos="6500"/>
        </w:tabs>
        <w:ind w:left="255" w:hanging="255"/>
        <w:rPr>
          <w:b/>
        </w:rPr>
      </w:pPr>
      <w:bookmarkStart w:id="0" w:name="_GoBack"/>
      <w:bookmarkEnd w:id="0"/>
      <w:r>
        <w:rPr>
          <w:b/>
        </w:rPr>
        <w:t>1. Zielsetzung</w:t>
      </w:r>
    </w:p>
    <w:p w14:paraId="766AB2AC" w14:textId="77777777" w:rsidR="0070483E" w:rsidRDefault="0070483E">
      <w:pPr>
        <w:tabs>
          <w:tab w:val="left" w:pos="0"/>
          <w:tab w:val="right" w:pos="8900"/>
        </w:tabs>
        <w:ind w:left="510" w:hanging="255"/>
      </w:pPr>
    </w:p>
    <w:p w14:paraId="76556DD6" w14:textId="77777777" w:rsidR="0070483E" w:rsidRDefault="0070483E">
      <w:pPr>
        <w:tabs>
          <w:tab w:val="left" w:pos="0"/>
          <w:tab w:val="right" w:pos="8900"/>
        </w:tabs>
        <w:ind w:left="255"/>
      </w:pPr>
      <w:r>
        <w:t>Einheitliche Regelung für die Dispensation vom Besuch einzelner Fächer bei überdurchschnittl</w:t>
      </w:r>
      <w:r>
        <w:t>i</w:t>
      </w:r>
      <w:r>
        <w:t>chen Kenntnissen.</w:t>
      </w:r>
    </w:p>
    <w:p w14:paraId="4663A699" w14:textId="77777777" w:rsidR="0070483E" w:rsidRDefault="0070483E">
      <w:pPr>
        <w:tabs>
          <w:tab w:val="left" w:pos="0"/>
          <w:tab w:val="right" w:pos="8900"/>
        </w:tabs>
        <w:ind w:left="510" w:hanging="255"/>
      </w:pPr>
    </w:p>
    <w:p w14:paraId="77FB1F29" w14:textId="77777777" w:rsidR="0070483E" w:rsidRDefault="0070483E">
      <w:pPr>
        <w:tabs>
          <w:tab w:val="left" w:pos="0"/>
          <w:tab w:val="right" w:pos="8900"/>
        </w:tabs>
        <w:ind w:left="510" w:hanging="255"/>
      </w:pPr>
    </w:p>
    <w:p w14:paraId="77E75117" w14:textId="77777777" w:rsidR="0070483E" w:rsidRDefault="0070483E">
      <w:pPr>
        <w:tabs>
          <w:tab w:val="left" w:pos="0"/>
          <w:tab w:val="right" w:pos="8900"/>
        </w:tabs>
        <w:ind w:left="255" w:hanging="255"/>
        <w:rPr>
          <w:b/>
        </w:rPr>
      </w:pPr>
    </w:p>
    <w:p w14:paraId="001EE076" w14:textId="77777777" w:rsidR="0070483E" w:rsidRDefault="00767E0C">
      <w:pPr>
        <w:tabs>
          <w:tab w:val="left" w:pos="0"/>
          <w:tab w:val="right" w:pos="8900"/>
        </w:tabs>
        <w:ind w:left="255" w:hanging="255"/>
        <w:rPr>
          <w:b/>
        </w:rPr>
      </w:pPr>
      <w:r>
        <w:rPr>
          <w:b/>
        </w:rPr>
        <w:t>2. Verantwortung</w:t>
      </w:r>
    </w:p>
    <w:p w14:paraId="3B95C125" w14:textId="77777777" w:rsidR="0070483E" w:rsidRDefault="0070483E">
      <w:pPr>
        <w:tabs>
          <w:tab w:val="left" w:pos="0"/>
          <w:tab w:val="right" w:pos="6500"/>
        </w:tabs>
        <w:ind w:left="510" w:hanging="255"/>
        <w:rPr>
          <w:b/>
        </w:rPr>
      </w:pPr>
    </w:p>
    <w:p w14:paraId="7B1F7DB5" w14:textId="77777777" w:rsidR="0070483E" w:rsidRDefault="00437D66" w:rsidP="007E691E">
      <w:pPr>
        <w:tabs>
          <w:tab w:val="left" w:pos="3119"/>
          <w:tab w:val="right" w:pos="6804"/>
        </w:tabs>
        <w:ind w:left="510" w:hanging="255"/>
      </w:pPr>
      <w:r>
        <w:t>Prorektor</w:t>
      </w:r>
      <w:r w:rsidR="007E691E">
        <w:t>, STGL</w:t>
      </w:r>
      <w:r w:rsidR="007E691E">
        <w:tab/>
      </w:r>
      <w:r w:rsidR="0070483E">
        <w:t>Entscheid</w:t>
      </w:r>
    </w:p>
    <w:p w14:paraId="02268C1B" w14:textId="77777777" w:rsidR="0070483E" w:rsidRDefault="00437D66" w:rsidP="007E691E">
      <w:pPr>
        <w:tabs>
          <w:tab w:val="left" w:pos="0"/>
          <w:tab w:val="left" w:pos="3119"/>
          <w:tab w:val="right" w:pos="8900"/>
        </w:tabs>
        <w:ind w:left="510" w:hanging="255"/>
      </w:pPr>
      <w:r>
        <w:t>Dozent</w:t>
      </w:r>
      <w:r w:rsidR="0070483E">
        <w:tab/>
        <w:t>Vollzug</w:t>
      </w:r>
    </w:p>
    <w:p w14:paraId="1BD9AB52" w14:textId="77777777" w:rsidR="0070483E" w:rsidRDefault="0070483E">
      <w:pPr>
        <w:tabs>
          <w:tab w:val="left" w:pos="0"/>
          <w:tab w:val="right" w:pos="8900"/>
        </w:tabs>
        <w:ind w:left="510" w:hanging="255"/>
      </w:pPr>
    </w:p>
    <w:p w14:paraId="088E3586" w14:textId="77777777" w:rsidR="0070483E" w:rsidRDefault="0070483E">
      <w:pPr>
        <w:tabs>
          <w:tab w:val="left" w:pos="0"/>
          <w:tab w:val="right" w:pos="8900"/>
        </w:tabs>
        <w:ind w:left="510" w:hanging="255"/>
      </w:pPr>
    </w:p>
    <w:p w14:paraId="52A7F9CB" w14:textId="77777777" w:rsidR="0070483E" w:rsidRDefault="0070483E">
      <w:pPr>
        <w:tabs>
          <w:tab w:val="left" w:pos="0"/>
          <w:tab w:val="right" w:pos="8900"/>
        </w:tabs>
        <w:ind w:left="255" w:hanging="255"/>
        <w:rPr>
          <w:b/>
        </w:rPr>
      </w:pPr>
      <w:r>
        <w:rPr>
          <w:b/>
        </w:rPr>
        <w:t>3. Geltungsbereich</w:t>
      </w:r>
    </w:p>
    <w:p w14:paraId="1126CFB8" w14:textId="77777777" w:rsidR="0070483E" w:rsidRDefault="0070483E">
      <w:pPr>
        <w:tabs>
          <w:tab w:val="left" w:pos="0"/>
          <w:tab w:val="right" w:pos="6500"/>
        </w:tabs>
        <w:ind w:left="510" w:hanging="255"/>
        <w:rPr>
          <w:b/>
        </w:rPr>
      </w:pPr>
    </w:p>
    <w:p w14:paraId="18FB79B2" w14:textId="77777777" w:rsidR="0070483E" w:rsidRDefault="0070483E">
      <w:pPr>
        <w:tabs>
          <w:tab w:val="left" w:pos="0"/>
          <w:tab w:val="right" w:pos="8900"/>
        </w:tabs>
        <w:ind w:left="510" w:hanging="255"/>
      </w:pPr>
      <w:r>
        <w:t>HF Technik</w:t>
      </w:r>
    </w:p>
    <w:p w14:paraId="02786FD1" w14:textId="77777777" w:rsidR="0070483E" w:rsidRDefault="0070483E">
      <w:pPr>
        <w:tabs>
          <w:tab w:val="left" w:pos="0"/>
          <w:tab w:val="right" w:pos="8900"/>
        </w:tabs>
        <w:ind w:left="510" w:hanging="255"/>
      </w:pPr>
    </w:p>
    <w:p w14:paraId="616669B5" w14:textId="77777777" w:rsidR="0070483E" w:rsidRDefault="0070483E">
      <w:pPr>
        <w:tabs>
          <w:tab w:val="left" w:pos="0"/>
          <w:tab w:val="right" w:pos="8900"/>
        </w:tabs>
        <w:ind w:left="510" w:hanging="255"/>
      </w:pPr>
    </w:p>
    <w:p w14:paraId="30F23B38" w14:textId="77777777" w:rsidR="0070483E" w:rsidRDefault="0070483E">
      <w:pPr>
        <w:tabs>
          <w:tab w:val="left" w:pos="0"/>
          <w:tab w:val="right" w:pos="8900"/>
        </w:tabs>
        <w:ind w:left="255" w:hanging="255"/>
        <w:rPr>
          <w:b/>
        </w:rPr>
      </w:pPr>
      <w:r>
        <w:rPr>
          <w:b/>
        </w:rPr>
        <w:t>4. Prozessbeschreibung</w:t>
      </w:r>
    </w:p>
    <w:p w14:paraId="57D6A47D" w14:textId="77777777" w:rsidR="0070483E" w:rsidRDefault="0070483E">
      <w:pPr>
        <w:tabs>
          <w:tab w:val="left" w:pos="0"/>
          <w:tab w:val="right" w:pos="8900"/>
        </w:tabs>
        <w:ind w:left="510" w:hanging="255"/>
      </w:pPr>
    </w:p>
    <w:p w14:paraId="607144BF" w14:textId="77777777" w:rsidR="0070483E" w:rsidRDefault="0070483E">
      <w:pPr>
        <w:ind w:left="255"/>
        <w:jc w:val="both"/>
      </w:pPr>
      <w:r>
        <w:t>4.1 Der Studierende hat das Dispensationsgesuch in Absprache mit dem entsprechenden Doze</w:t>
      </w:r>
      <w:r>
        <w:t>n</w:t>
      </w:r>
      <w:r>
        <w:t>ten, schriftlich an den Prorektor zu richten. Der entsprechende Fachdozent bezeugt mit seiner U</w:t>
      </w:r>
      <w:r>
        <w:t>n</w:t>
      </w:r>
      <w:r>
        <w:t>terschrift die ausreichenden Kenntnisse des Studierenden.</w:t>
      </w:r>
    </w:p>
    <w:p w14:paraId="74673E75" w14:textId="77777777" w:rsidR="0070483E" w:rsidRDefault="0070483E">
      <w:pPr>
        <w:ind w:left="255"/>
        <w:jc w:val="both"/>
      </w:pPr>
    </w:p>
    <w:p w14:paraId="37D3FDFF" w14:textId="77777777" w:rsidR="0070483E" w:rsidRDefault="0070483E">
      <w:pPr>
        <w:ind w:left="255"/>
        <w:jc w:val="both"/>
      </w:pPr>
      <w:r>
        <w:t>4.2  Die Dauer der Dispensation wird zwischen Dozent und Studierendem abgesprochen. Sie dauert im Minimum ein Semester und ist vollumfänglich.</w:t>
      </w:r>
    </w:p>
    <w:p w14:paraId="5AC40444" w14:textId="77777777" w:rsidR="0070483E" w:rsidRDefault="0070483E">
      <w:pPr>
        <w:ind w:left="255"/>
        <w:jc w:val="both"/>
      </w:pPr>
    </w:p>
    <w:p w14:paraId="2CE47C5F" w14:textId="77777777" w:rsidR="0070483E" w:rsidRDefault="0070483E">
      <w:pPr>
        <w:ind w:left="255"/>
        <w:jc w:val="both"/>
      </w:pPr>
      <w:r>
        <w:t>4.3 Die Fachabschlussprüfung ist in jedem Fall zu absolvieren und die entsprechende Note wird als Diplomnote übernommen, sofern infolge der Dispensation keine Semesternoten vorhanden sind. Für Studierende mit sehr guten Kenntnissen besteht die Möglichkeit einer vorgezogenen Fachabschlussprüfung in Absprache mit dem Prorektor und dem Fachdozenten.</w:t>
      </w:r>
    </w:p>
    <w:p w14:paraId="54840FEB" w14:textId="77777777" w:rsidR="0070483E" w:rsidRPr="00C33DC3" w:rsidRDefault="0070483E">
      <w:pPr>
        <w:ind w:left="255"/>
        <w:jc w:val="both"/>
        <w:rPr>
          <w:sz w:val="8"/>
          <w:szCs w:val="8"/>
        </w:rPr>
      </w:pPr>
    </w:p>
    <w:p w14:paraId="6963882E" w14:textId="77777777" w:rsidR="0070483E" w:rsidRDefault="0070483E">
      <w:pPr>
        <w:ind w:left="255"/>
        <w:jc w:val="both"/>
      </w:pPr>
      <w:r>
        <w:t>Eine vorgezogene Fachabschlussprüfung wird mit der ordentlichen Prüfung einer Abschlusskla</w:t>
      </w:r>
      <w:r>
        <w:t>s</w:t>
      </w:r>
      <w:r>
        <w:t>se absolviert.</w:t>
      </w:r>
    </w:p>
    <w:p w14:paraId="2A6C3670" w14:textId="77777777" w:rsidR="0070483E" w:rsidRDefault="0070483E">
      <w:pPr>
        <w:ind w:left="255"/>
        <w:jc w:val="both"/>
      </w:pPr>
    </w:p>
    <w:p w14:paraId="1471257B" w14:textId="77777777" w:rsidR="0070483E" w:rsidRDefault="0070483E">
      <w:pPr>
        <w:ind w:left="255"/>
        <w:jc w:val="both"/>
      </w:pPr>
      <w:r>
        <w:t xml:space="preserve">4.4 In allen übrigen Fällen wird die Diplomnote </w:t>
      </w:r>
      <w:proofErr w:type="spellStart"/>
      <w:r>
        <w:t>gemäss</w:t>
      </w:r>
      <w:proofErr w:type="spellEnd"/>
      <w:r>
        <w:t xml:space="preserve"> dem Reglement über Pr</w:t>
      </w:r>
      <w:r w:rsidR="00C33DC3">
        <w:t>üfungen und Promotionen RT 8.012</w:t>
      </w:r>
      <w:r>
        <w:t xml:space="preserve"> bestimmt.</w:t>
      </w:r>
    </w:p>
    <w:p w14:paraId="53B79B67" w14:textId="77777777" w:rsidR="0070483E" w:rsidRDefault="0070483E">
      <w:pPr>
        <w:tabs>
          <w:tab w:val="left" w:pos="0"/>
          <w:tab w:val="right" w:pos="8900"/>
        </w:tabs>
        <w:ind w:left="510" w:hanging="255"/>
      </w:pPr>
    </w:p>
    <w:p w14:paraId="45D18F57" w14:textId="77777777" w:rsidR="0070483E" w:rsidRDefault="0070483E">
      <w:pPr>
        <w:tabs>
          <w:tab w:val="left" w:pos="0"/>
          <w:tab w:val="right" w:pos="8900"/>
        </w:tabs>
        <w:ind w:left="510" w:hanging="255"/>
      </w:pPr>
    </w:p>
    <w:p w14:paraId="1374DD0B" w14:textId="77777777" w:rsidR="0070483E" w:rsidRDefault="0070483E">
      <w:pPr>
        <w:ind w:left="255" w:hanging="255"/>
        <w:jc w:val="both"/>
        <w:rPr>
          <w:b/>
        </w:rPr>
      </w:pPr>
      <w:r>
        <w:rPr>
          <w:b/>
        </w:rPr>
        <w:t>5.</w:t>
      </w:r>
      <w:r>
        <w:t xml:space="preserve"> </w:t>
      </w:r>
      <w:r>
        <w:rPr>
          <w:b/>
        </w:rPr>
        <w:t>Meldung</w:t>
      </w:r>
    </w:p>
    <w:p w14:paraId="055099B6" w14:textId="77777777" w:rsidR="0070483E" w:rsidRDefault="0070483E">
      <w:pPr>
        <w:tabs>
          <w:tab w:val="left" w:pos="0"/>
          <w:tab w:val="right" w:pos="8900"/>
        </w:tabs>
        <w:ind w:left="510" w:hanging="255"/>
      </w:pPr>
    </w:p>
    <w:p w14:paraId="00257CC4" w14:textId="77777777" w:rsidR="0070483E" w:rsidRDefault="0070483E">
      <w:pPr>
        <w:ind w:left="255"/>
        <w:jc w:val="both"/>
      </w:pPr>
      <w:r>
        <w:t>Der Rektor und das Sekretariat sind über ausgesprochene Dispensationen und über vorgezogene Fachabschlussprüfungen zu orientieren.</w:t>
      </w:r>
    </w:p>
    <w:p w14:paraId="39300DAC" w14:textId="77777777" w:rsidR="0070483E" w:rsidRDefault="0070483E">
      <w:pPr>
        <w:tabs>
          <w:tab w:val="left" w:pos="0"/>
          <w:tab w:val="right" w:pos="8900"/>
        </w:tabs>
        <w:ind w:left="510" w:hanging="255"/>
      </w:pPr>
    </w:p>
    <w:sectPr w:rsidR="0070483E">
      <w:headerReference w:type="default" r:id="rId8"/>
      <w:footerReference w:type="default" r:id="rId9"/>
      <w:pgSz w:w="11907" w:h="16840" w:code="9"/>
      <w:pgMar w:top="2268" w:right="680" w:bottom="2268" w:left="1418" w:header="794" w:footer="6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2F742" w14:textId="77777777" w:rsidR="007E691E" w:rsidRDefault="007E691E">
      <w:r>
        <w:separator/>
      </w:r>
    </w:p>
  </w:endnote>
  <w:endnote w:type="continuationSeparator" w:id="0">
    <w:p w14:paraId="57291C1E" w14:textId="77777777" w:rsidR="007E691E" w:rsidRDefault="007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91" w:type="dxa"/>
      <w:tblInd w:w="1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6"/>
      <w:gridCol w:w="1601"/>
      <w:gridCol w:w="1162"/>
      <w:gridCol w:w="1511"/>
      <w:gridCol w:w="940"/>
      <w:gridCol w:w="1701"/>
    </w:tblGrid>
    <w:tr w:rsidR="007E691E" w14:paraId="4931E43D" w14:textId="77777777">
      <w:trPr>
        <w:trHeight w:hRule="exact" w:val="300"/>
      </w:trPr>
      <w:tc>
        <w:tcPr>
          <w:tcW w:w="1276" w:type="dxa"/>
        </w:tcPr>
        <w:p w14:paraId="35242DE0" w14:textId="77777777" w:rsidR="007E691E" w:rsidRDefault="001652A6">
          <w:pPr>
            <w:pStyle w:val="Fuzeile"/>
            <w:spacing w:before="40"/>
            <w:rPr>
              <w:sz w:val="18"/>
            </w:rPr>
          </w:pPr>
          <w:r>
            <w:rPr>
              <w:noProof/>
              <w:snapToGrid/>
            </w:rPr>
            <w:drawing>
              <wp:anchor distT="0" distB="0" distL="114300" distR="114300" simplePos="0" relativeHeight="251658240" behindDoc="0" locked="0" layoutInCell="1" allowOverlap="1" wp14:anchorId="6667B0B1" wp14:editId="3C97CE80">
                <wp:simplePos x="0" y="0"/>
                <wp:positionH relativeFrom="column">
                  <wp:posOffset>-1123950</wp:posOffset>
                </wp:positionH>
                <wp:positionV relativeFrom="paragraph">
                  <wp:posOffset>-253365</wp:posOffset>
                </wp:positionV>
                <wp:extent cx="749300" cy="59319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593196"/>
                        </a:xfrm>
                        <a:prstGeom prst="rect">
                          <a:avLst/>
                        </a:prstGeom>
                        <a:noFill/>
                        <a:ln>
                          <a:noFill/>
                        </a:ln>
                      </pic:spPr>
                    </pic:pic>
                  </a:graphicData>
                </a:graphic>
                <wp14:sizeRelH relativeFrom="page">
                  <wp14:pctWidth>0</wp14:pctWidth>
                </wp14:sizeRelH>
                <wp14:sizeRelV relativeFrom="page">
                  <wp14:pctHeight>0</wp14:pctHeight>
                </wp14:sizeRelV>
              </wp:anchor>
            </w:drawing>
          </w:r>
          <w:r w:rsidR="007E691E">
            <w:rPr>
              <w:sz w:val="18"/>
            </w:rPr>
            <w:t>Erstellt am:</w:t>
          </w:r>
        </w:p>
      </w:tc>
      <w:tc>
        <w:tcPr>
          <w:tcW w:w="1601" w:type="dxa"/>
        </w:tcPr>
        <w:p w14:paraId="4800C56A" w14:textId="1978137B" w:rsidR="007E691E" w:rsidRDefault="00811E6D">
          <w:pPr>
            <w:pStyle w:val="Fuzeile"/>
            <w:spacing w:before="40"/>
            <w:jc w:val="center"/>
            <w:rPr>
              <w:sz w:val="18"/>
            </w:rPr>
          </w:pPr>
          <w:r>
            <w:rPr>
              <w:sz w:val="18"/>
            </w:rPr>
            <w:t>17.06.2011</w:t>
          </w:r>
          <w:r w:rsidR="007E691E">
            <w:rPr>
              <w:sz w:val="18"/>
            </w:rPr>
            <w:t xml:space="preserve"> / </w:t>
          </w:r>
          <w:proofErr w:type="spellStart"/>
          <w:r w:rsidR="007E691E">
            <w:rPr>
              <w:sz w:val="18"/>
            </w:rPr>
            <w:t>cg</w:t>
          </w:r>
          <w:proofErr w:type="spellEnd"/>
        </w:p>
      </w:tc>
      <w:tc>
        <w:tcPr>
          <w:tcW w:w="1162" w:type="dxa"/>
        </w:tcPr>
        <w:p w14:paraId="60A24195" w14:textId="77777777" w:rsidR="007E691E" w:rsidRDefault="007E691E">
          <w:pPr>
            <w:pStyle w:val="Fuzeile"/>
            <w:spacing w:before="40"/>
            <w:rPr>
              <w:sz w:val="18"/>
            </w:rPr>
          </w:pPr>
          <w:r>
            <w:rPr>
              <w:sz w:val="18"/>
            </w:rPr>
            <w:t>Geprüft am:</w:t>
          </w:r>
        </w:p>
      </w:tc>
      <w:tc>
        <w:tcPr>
          <w:tcW w:w="1511" w:type="dxa"/>
        </w:tcPr>
        <w:p w14:paraId="4BBAD54F" w14:textId="41E38356" w:rsidR="007E691E" w:rsidRDefault="00811E6D">
          <w:pPr>
            <w:pStyle w:val="Fuzeile"/>
            <w:spacing w:before="40"/>
            <w:rPr>
              <w:sz w:val="18"/>
            </w:rPr>
          </w:pPr>
          <w:r>
            <w:rPr>
              <w:sz w:val="18"/>
            </w:rPr>
            <w:t>04.07.2011</w:t>
          </w:r>
          <w:r w:rsidR="007E691E">
            <w:rPr>
              <w:sz w:val="18"/>
            </w:rPr>
            <w:t xml:space="preserve"> / SL</w:t>
          </w:r>
        </w:p>
        <w:p w14:paraId="59960BEB" w14:textId="77777777" w:rsidR="007E691E" w:rsidRDefault="007E691E">
          <w:pPr>
            <w:pStyle w:val="Fuzeile"/>
            <w:spacing w:before="40"/>
            <w:rPr>
              <w:sz w:val="18"/>
            </w:rPr>
          </w:pPr>
          <w:r>
            <w:rPr>
              <w:sz w:val="18"/>
            </w:rPr>
            <w:t xml:space="preserve">05.99 / </w:t>
          </w:r>
          <w:proofErr w:type="spellStart"/>
          <w:r>
            <w:rPr>
              <w:sz w:val="18"/>
            </w:rPr>
            <w:t>mz</w:t>
          </w:r>
          <w:proofErr w:type="spellEnd"/>
        </w:p>
      </w:tc>
      <w:tc>
        <w:tcPr>
          <w:tcW w:w="940" w:type="dxa"/>
        </w:tcPr>
        <w:p w14:paraId="6C541680" w14:textId="77777777" w:rsidR="007E691E" w:rsidRDefault="007E691E">
          <w:pPr>
            <w:pStyle w:val="Fuzeile"/>
            <w:spacing w:before="40"/>
            <w:rPr>
              <w:sz w:val="18"/>
            </w:rPr>
          </w:pPr>
          <w:r>
            <w:rPr>
              <w:sz w:val="18"/>
            </w:rPr>
            <w:t>Gültig ab:</w:t>
          </w:r>
        </w:p>
      </w:tc>
      <w:tc>
        <w:tcPr>
          <w:tcW w:w="1701" w:type="dxa"/>
        </w:tcPr>
        <w:p w14:paraId="70F02E6C" w14:textId="7984EA9C" w:rsidR="007E691E" w:rsidRDefault="00811E6D">
          <w:pPr>
            <w:pStyle w:val="Fuzeile"/>
            <w:spacing w:before="40"/>
            <w:rPr>
              <w:sz w:val="18"/>
            </w:rPr>
          </w:pPr>
          <w:r>
            <w:rPr>
              <w:sz w:val="18"/>
            </w:rPr>
            <w:t>04.07.2011</w:t>
          </w:r>
          <w:r w:rsidR="007E691E">
            <w:rPr>
              <w:sz w:val="18"/>
            </w:rPr>
            <w:t xml:space="preserve"> / es</w:t>
          </w:r>
        </w:p>
      </w:tc>
    </w:tr>
  </w:tbl>
  <w:p w14:paraId="1A0DCD82" w14:textId="77777777" w:rsidR="007E691E" w:rsidRDefault="007E691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483F" w14:textId="77777777" w:rsidR="007E691E" w:rsidRDefault="007E691E">
      <w:r>
        <w:separator/>
      </w:r>
    </w:p>
  </w:footnote>
  <w:footnote w:type="continuationSeparator" w:id="0">
    <w:p w14:paraId="12FC8E25" w14:textId="77777777" w:rsidR="007E691E" w:rsidRDefault="007E6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tblBorders>
      <w:tblLayout w:type="fixed"/>
      <w:tblCellMar>
        <w:left w:w="71" w:type="dxa"/>
        <w:right w:w="71" w:type="dxa"/>
      </w:tblCellMar>
      <w:tblLook w:val="0000" w:firstRow="0" w:lastRow="0" w:firstColumn="0" w:lastColumn="0" w:noHBand="0" w:noVBand="0"/>
    </w:tblPr>
    <w:tblGrid>
      <w:gridCol w:w="907"/>
      <w:gridCol w:w="3799"/>
      <w:gridCol w:w="851"/>
      <w:gridCol w:w="454"/>
    </w:tblGrid>
    <w:tr w:rsidR="007E691E" w14:paraId="7C6C26F0" w14:textId="77777777">
      <w:trPr>
        <w:cantSplit/>
      </w:trPr>
      <w:tc>
        <w:tcPr>
          <w:tcW w:w="907" w:type="dxa"/>
          <w:tcBorders>
            <w:top w:val="single" w:sz="6" w:space="0" w:color="auto"/>
            <w:left w:val="single" w:sz="4" w:space="0" w:color="auto"/>
            <w:bottom w:val="single" w:sz="6" w:space="0" w:color="auto"/>
          </w:tcBorders>
        </w:tcPr>
        <w:p w14:paraId="303CBB0D" w14:textId="77777777" w:rsidR="007E691E" w:rsidRDefault="001C3835">
          <w:pPr>
            <w:spacing w:before="120" w:after="120"/>
            <w:jc w:val="center"/>
          </w:pPr>
          <w:r>
            <w:rPr>
              <w:noProof/>
              <w:snapToGrid/>
            </w:rPr>
            <w:drawing>
              <wp:anchor distT="0" distB="0" distL="114300" distR="114300" simplePos="0" relativeHeight="251657216" behindDoc="0" locked="0" layoutInCell="1" allowOverlap="1" wp14:anchorId="749F896E" wp14:editId="2768468F">
                <wp:simplePos x="0" y="0"/>
                <wp:positionH relativeFrom="column">
                  <wp:posOffset>4220210</wp:posOffset>
                </wp:positionH>
                <wp:positionV relativeFrom="paragraph">
                  <wp:posOffset>44450</wp:posOffset>
                </wp:positionV>
                <wp:extent cx="1876425" cy="647700"/>
                <wp:effectExtent l="0" t="0" r="3175" b="12700"/>
                <wp:wrapNone/>
                <wp:docPr id="4" name="Bild 4" descr="BBZ-G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Z-G50-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91E">
            <w:rPr>
              <w:b/>
            </w:rPr>
            <w:t>VA</w:t>
          </w:r>
        </w:p>
      </w:tc>
      <w:tc>
        <w:tcPr>
          <w:tcW w:w="3799" w:type="dxa"/>
          <w:tcBorders>
            <w:top w:val="single" w:sz="4" w:space="0" w:color="auto"/>
            <w:left w:val="single" w:sz="4" w:space="0" w:color="auto"/>
            <w:bottom w:val="nil"/>
            <w:right w:val="single" w:sz="4" w:space="0" w:color="auto"/>
          </w:tcBorders>
        </w:tcPr>
        <w:p w14:paraId="24E09E91" w14:textId="77777777" w:rsidR="007E691E" w:rsidRDefault="007E691E">
          <w:pPr>
            <w:spacing w:before="120" w:after="120"/>
            <w:jc w:val="center"/>
            <w:rPr>
              <w:b/>
              <w:sz w:val="18"/>
            </w:rPr>
          </w:pPr>
          <w:r>
            <w:rPr>
              <w:sz w:val="18"/>
            </w:rPr>
            <w:t>Erwachsenenbildung / Ausbildung HF / Durchführung</w:t>
          </w:r>
        </w:p>
      </w:tc>
      <w:tc>
        <w:tcPr>
          <w:tcW w:w="851" w:type="dxa"/>
          <w:tcBorders>
            <w:top w:val="single" w:sz="6" w:space="0" w:color="auto"/>
            <w:bottom w:val="nil"/>
          </w:tcBorders>
        </w:tcPr>
        <w:p w14:paraId="582FE708" w14:textId="77777777" w:rsidR="007E691E" w:rsidRDefault="007E691E">
          <w:pPr>
            <w:spacing w:before="120" w:after="120"/>
            <w:rPr>
              <w:sz w:val="18"/>
            </w:rPr>
          </w:pPr>
          <w:r>
            <w:rPr>
              <w:sz w:val="18"/>
            </w:rPr>
            <w:t>Seite:</w:t>
          </w:r>
        </w:p>
      </w:tc>
      <w:tc>
        <w:tcPr>
          <w:tcW w:w="454" w:type="dxa"/>
          <w:tcBorders>
            <w:top w:val="single" w:sz="6" w:space="0" w:color="auto"/>
            <w:bottom w:val="nil"/>
            <w:right w:val="single" w:sz="4" w:space="0" w:color="auto"/>
          </w:tcBorders>
        </w:tcPr>
        <w:p w14:paraId="40BF0D40" w14:textId="77777777" w:rsidR="007E691E" w:rsidRDefault="007E691E">
          <w:pPr>
            <w:spacing w:before="120" w:after="120"/>
            <w:jc w:val="center"/>
            <w:rPr>
              <w:sz w:val="18"/>
            </w:rPr>
          </w:pPr>
          <w:r>
            <w:rPr>
              <w:sz w:val="18"/>
            </w:rPr>
            <w:fldChar w:fldCharType="begin"/>
          </w:r>
          <w:r>
            <w:rPr>
              <w:sz w:val="18"/>
            </w:rPr>
            <w:instrText xml:space="preserve"> PAGE  \* MERGEFORMAT </w:instrText>
          </w:r>
          <w:r>
            <w:rPr>
              <w:sz w:val="18"/>
            </w:rPr>
            <w:fldChar w:fldCharType="separate"/>
          </w:r>
          <w:r w:rsidR="00E63D11">
            <w:rPr>
              <w:noProof/>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E63D11">
            <w:rPr>
              <w:noProof/>
              <w:sz w:val="18"/>
            </w:rPr>
            <w:t>1</w:t>
          </w:r>
          <w:r>
            <w:rPr>
              <w:sz w:val="18"/>
            </w:rPr>
            <w:fldChar w:fldCharType="end"/>
          </w:r>
        </w:p>
      </w:tc>
    </w:tr>
    <w:tr w:rsidR="007E691E" w14:paraId="7F9BDD88" w14:textId="77777777">
      <w:trPr>
        <w:cantSplit/>
      </w:trPr>
      <w:tc>
        <w:tcPr>
          <w:tcW w:w="907" w:type="dxa"/>
          <w:tcBorders>
            <w:top w:val="single" w:sz="6" w:space="0" w:color="auto"/>
            <w:left w:val="single" w:sz="4" w:space="0" w:color="auto"/>
            <w:bottom w:val="single" w:sz="6" w:space="0" w:color="auto"/>
          </w:tcBorders>
        </w:tcPr>
        <w:p w14:paraId="5C1ECB75" w14:textId="77777777" w:rsidR="007E691E" w:rsidRDefault="007E691E">
          <w:pPr>
            <w:spacing w:before="120" w:after="120"/>
            <w:jc w:val="center"/>
            <w:rPr>
              <w:sz w:val="18"/>
            </w:rPr>
          </w:pPr>
          <w:r>
            <w:rPr>
              <w:sz w:val="18"/>
            </w:rPr>
            <w:t>3.4.3.03</w:t>
          </w:r>
        </w:p>
      </w:tc>
      <w:tc>
        <w:tcPr>
          <w:tcW w:w="5104" w:type="dxa"/>
          <w:gridSpan w:val="3"/>
          <w:tcBorders>
            <w:top w:val="single" w:sz="4" w:space="0" w:color="auto"/>
            <w:left w:val="single" w:sz="4" w:space="0" w:color="auto"/>
            <w:bottom w:val="single" w:sz="4" w:space="0" w:color="auto"/>
            <w:right w:val="single" w:sz="4" w:space="0" w:color="auto"/>
          </w:tcBorders>
        </w:tcPr>
        <w:p w14:paraId="24703487" w14:textId="77777777" w:rsidR="007E691E" w:rsidRDefault="007E691E">
          <w:pPr>
            <w:pStyle w:val="berschrift1"/>
            <w:rPr>
              <w:sz w:val="18"/>
            </w:rPr>
          </w:pPr>
          <w:r>
            <w:t>Dispensationsregelung HF Technik</w:t>
          </w:r>
        </w:p>
      </w:tc>
    </w:tr>
  </w:tbl>
  <w:p w14:paraId="198E96FB" w14:textId="77777777" w:rsidR="007E691E" w:rsidRDefault="007E691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70483E"/>
    <w:rsid w:val="001652A6"/>
    <w:rsid w:val="001C3835"/>
    <w:rsid w:val="00396240"/>
    <w:rsid w:val="00437D66"/>
    <w:rsid w:val="006D000E"/>
    <w:rsid w:val="0070483E"/>
    <w:rsid w:val="00767E0C"/>
    <w:rsid w:val="007E691E"/>
    <w:rsid w:val="00811E6D"/>
    <w:rsid w:val="008C66CE"/>
    <w:rsid w:val="00917843"/>
    <w:rsid w:val="00932171"/>
    <w:rsid w:val="00BC2FFC"/>
    <w:rsid w:val="00C33DC3"/>
    <w:rsid w:val="00D500D9"/>
    <w:rsid w:val="00DA104D"/>
    <w:rsid w:val="00E63D11"/>
    <w:rsid w:val="00EA5A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9724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napToGrid w:val="0"/>
      <w:sz w:val="22"/>
    </w:rPr>
  </w:style>
  <w:style w:type="paragraph" w:styleId="berschrift1">
    <w:name w:val="heading 1"/>
    <w:basedOn w:val="Standard"/>
    <w:next w:val="Standard"/>
    <w:qFormat/>
    <w:pPr>
      <w:keepNext/>
      <w:spacing w:before="120" w:after="120"/>
      <w:jc w:val="center"/>
      <w:outlineLvl w:val="0"/>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napToGrid w:val="0"/>
      <w:sz w:val="22"/>
    </w:rPr>
  </w:style>
  <w:style w:type="paragraph" w:styleId="berschrift1">
    <w:name w:val="heading 1"/>
    <w:basedOn w:val="Standard"/>
    <w:next w:val="Standard"/>
    <w:qFormat/>
    <w:pPr>
      <w:keepNext/>
      <w:spacing w:before="120" w:after="120"/>
      <w:jc w:val="center"/>
      <w:outlineLvl w:val="0"/>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0" ma:contentTypeDescription="Ein neues Dokument erstellen." ma:contentTypeScope="" ma:versionID="90c40935533bfc7c204f5c7b75a22fb5">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4D895-8A92-47EC-91CD-C11EA2DA1A1A}"/>
</file>

<file path=customXml/itemProps2.xml><?xml version="1.0" encoding="utf-8"?>
<ds:datastoreItem xmlns:ds="http://schemas.openxmlformats.org/officeDocument/2006/customXml" ds:itemID="{8CC3936C-4597-4AD7-B355-BDCFE2FAA19F}"/>
</file>

<file path=customXml/itemProps3.xml><?xml version="1.0" encoding="utf-8"?>
<ds:datastoreItem xmlns:ds="http://schemas.openxmlformats.org/officeDocument/2006/customXml" ds:itemID="{19D39217-6AC2-44BF-954E-093960C1E72B}"/>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Aus Gründen der Textverständlichkeit und der Lesbarkeit wird grundsätzlich die männliche Schreibweise angewendet</vt:lpstr>
    </vt:vector>
  </TitlesOfParts>
  <Company>BBZ  Schaffhausen</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Gründen der Textverständlichkeit und der Lesbarkeit wird grundsätzlich die männliche Schreibweise angewendet</dc:title>
  <dc:subject/>
  <dc:creator>Philipp Streit</dc:creator>
  <cp:keywords/>
  <cp:lastModifiedBy>Christian Gottschalk</cp:lastModifiedBy>
  <cp:revision>5</cp:revision>
  <cp:lastPrinted>2011-06-24T10:48:00Z</cp:lastPrinted>
  <dcterms:created xsi:type="dcterms:W3CDTF">2011-06-06T09:30:00Z</dcterms:created>
  <dcterms:modified xsi:type="dcterms:W3CDTF">2011-06-24T10:48:00Z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