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38F9" w14:textId="344AE0F3" w:rsidR="00A013F2" w:rsidRPr="00BB683C" w:rsidRDefault="00A013F2" w:rsidP="00CB1826">
      <w:pPr>
        <w:rPr>
          <w:sz w:val="22"/>
        </w:rPr>
      </w:pPr>
      <w:bookmarkStart w:id="0" w:name="_GoBack"/>
      <w:bookmarkEnd w:id="0"/>
    </w:p>
    <w:tbl>
      <w:tblPr>
        <w:tblW w:w="98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015"/>
      </w:tblGrid>
      <w:tr w:rsidR="008510C4" w:rsidRPr="00BB683C" w14:paraId="78ED6E2D" w14:textId="77777777" w:rsidTr="002B5A8A">
        <w:tc>
          <w:tcPr>
            <w:tcW w:w="851" w:type="dxa"/>
          </w:tcPr>
          <w:p w14:paraId="40E28815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1.</w:t>
            </w:r>
          </w:p>
        </w:tc>
        <w:tc>
          <w:tcPr>
            <w:tcW w:w="9015" w:type="dxa"/>
          </w:tcPr>
          <w:p w14:paraId="4D8B6D50" w14:textId="324C0305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Ziel</w:t>
            </w:r>
            <w:r w:rsidR="0023647F" w:rsidRPr="00BB683C">
              <w:rPr>
                <w:b/>
                <w:sz w:val="22"/>
              </w:rPr>
              <w:t>setzung</w:t>
            </w:r>
          </w:p>
        </w:tc>
      </w:tr>
      <w:tr w:rsidR="008510C4" w:rsidRPr="00BB683C" w14:paraId="75C98E51" w14:textId="77777777" w:rsidTr="002B5A8A">
        <w:tc>
          <w:tcPr>
            <w:tcW w:w="851" w:type="dxa"/>
          </w:tcPr>
          <w:p w14:paraId="47A8A590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2BE470D6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14B8197F" w14:textId="77777777" w:rsidTr="002B5A8A">
        <w:tc>
          <w:tcPr>
            <w:tcW w:w="851" w:type="dxa"/>
          </w:tcPr>
          <w:p w14:paraId="5065ABB1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67787F4A" w14:textId="0D415C74" w:rsidR="008510C4" w:rsidRPr="00BB683C" w:rsidRDefault="00CA6F16" w:rsidP="00DF67D6">
            <w:pPr>
              <w:rPr>
                <w:sz w:val="22"/>
              </w:rPr>
            </w:pPr>
            <w:r w:rsidRPr="00BB683C">
              <w:rPr>
                <w:sz w:val="22"/>
              </w:rPr>
              <w:t xml:space="preserve">Im Ereignisfall kann die Lage rasch und richtig beurteilt und die zu diesem Zeitpunkt als zweckmässig </w:t>
            </w:r>
            <w:r w:rsidR="00DF67D6">
              <w:rPr>
                <w:sz w:val="22"/>
              </w:rPr>
              <w:t>erachtenden</w:t>
            </w:r>
            <w:r w:rsidRPr="00BB683C">
              <w:rPr>
                <w:sz w:val="22"/>
              </w:rPr>
              <w:t xml:space="preserve"> Massnahmen getroffen werden.</w:t>
            </w:r>
          </w:p>
        </w:tc>
      </w:tr>
      <w:tr w:rsidR="008510C4" w:rsidRPr="00BB683C" w14:paraId="789D45F9" w14:textId="77777777" w:rsidTr="002B5A8A">
        <w:tc>
          <w:tcPr>
            <w:tcW w:w="851" w:type="dxa"/>
          </w:tcPr>
          <w:p w14:paraId="75B6C7EB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002077B7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7AEE98C7" w14:textId="77777777" w:rsidTr="002B5A8A">
        <w:tc>
          <w:tcPr>
            <w:tcW w:w="851" w:type="dxa"/>
          </w:tcPr>
          <w:p w14:paraId="44925EE3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3E4F153D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245335A5" w14:textId="77777777" w:rsidTr="002B5A8A">
        <w:tc>
          <w:tcPr>
            <w:tcW w:w="851" w:type="dxa"/>
          </w:tcPr>
          <w:p w14:paraId="2E67FF68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2.</w:t>
            </w:r>
          </w:p>
        </w:tc>
        <w:tc>
          <w:tcPr>
            <w:tcW w:w="9015" w:type="dxa"/>
          </w:tcPr>
          <w:p w14:paraId="66BE0F06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Verantwortung</w:t>
            </w:r>
          </w:p>
        </w:tc>
      </w:tr>
      <w:tr w:rsidR="008510C4" w:rsidRPr="00BB683C" w14:paraId="483719CB" w14:textId="77777777" w:rsidTr="002B5A8A">
        <w:tc>
          <w:tcPr>
            <w:tcW w:w="851" w:type="dxa"/>
          </w:tcPr>
          <w:p w14:paraId="273DB3F7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052DC6FA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22D65924" w14:textId="77777777" w:rsidTr="002B5A8A">
        <w:tc>
          <w:tcPr>
            <w:tcW w:w="851" w:type="dxa"/>
          </w:tcPr>
          <w:p w14:paraId="04E56AB3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2FF1474E" w14:textId="3C449B5A" w:rsidR="008510C4" w:rsidRDefault="008510C4" w:rsidP="00212093">
            <w:pPr>
              <w:rPr>
                <w:sz w:val="22"/>
              </w:rPr>
            </w:pPr>
            <w:r w:rsidRPr="00BB683C">
              <w:rPr>
                <w:sz w:val="22"/>
              </w:rPr>
              <w:t>Schulleitu</w:t>
            </w:r>
            <w:r w:rsidR="00DF67D6">
              <w:rPr>
                <w:sz w:val="22"/>
              </w:rPr>
              <w:t xml:space="preserve">ng                             </w:t>
            </w:r>
            <w:r w:rsidRPr="00BB683C">
              <w:rPr>
                <w:sz w:val="22"/>
              </w:rPr>
              <w:t>Organisation, Anordnung, Controlling</w:t>
            </w:r>
          </w:p>
          <w:p w14:paraId="703B025B" w14:textId="78AC76FC" w:rsidR="006540A0" w:rsidRPr="00BB683C" w:rsidRDefault="006540A0" w:rsidP="00212093">
            <w:pPr>
              <w:rPr>
                <w:sz w:val="22"/>
              </w:rPr>
            </w:pPr>
            <w:r>
              <w:rPr>
                <w:sz w:val="22"/>
              </w:rPr>
              <w:t>Sic</w:t>
            </w:r>
            <w:r w:rsidR="00DF67D6">
              <w:rPr>
                <w:sz w:val="22"/>
              </w:rPr>
              <w:t xml:space="preserve">herheitsbeauftragter            </w:t>
            </w:r>
            <w:r>
              <w:rPr>
                <w:sz w:val="22"/>
              </w:rPr>
              <w:t>Überwachung</w:t>
            </w:r>
          </w:p>
        </w:tc>
      </w:tr>
      <w:tr w:rsidR="008510C4" w:rsidRPr="00BB683C" w14:paraId="4A0D2AC2" w14:textId="77777777" w:rsidTr="002B5A8A">
        <w:tc>
          <w:tcPr>
            <w:tcW w:w="851" w:type="dxa"/>
          </w:tcPr>
          <w:p w14:paraId="14268C21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25DA7D7F" w14:textId="5FA80CD4" w:rsidR="008510C4" w:rsidRPr="00BB683C" w:rsidRDefault="006540A0" w:rsidP="0095728A">
            <w:pPr>
              <w:rPr>
                <w:sz w:val="22"/>
              </w:rPr>
            </w:pPr>
            <w:r>
              <w:rPr>
                <w:sz w:val="22"/>
              </w:rPr>
              <w:t xml:space="preserve">Mitarbeitende </w:t>
            </w:r>
            <w:r>
              <w:rPr>
                <w:sz w:val="22"/>
              </w:rPr>
              <w:tab/>
              <w:t xml:space="preserve">                          </w:t>
            </w:r>
            <w:r w:rsidR="0095728A" w:rsidRPr="00BB683C">
              <w:rPr>
                <w:sz w:val="22"/>
              </w:rPr>
              <w:t>Anwendung</w:t>
            </w:r>
          </w:p>
        </w:tc>
      </w:tr>
      <w:tr w:rsidR="008510C4" w:rsidRPr="00BB683C" w14:paraId="24E24B5F" w14:textId="77777777" w:rsidTr="002B5A8A">
        <w:trPr>
          <w:trHeight w:hRule="exact" w:val="240"/>
        </w:trPr>
        <w:tc>
          <w:tcPr>
            <w:tcW w:w="851" w:type="dxa"/>
          </w:tcPr>
          <w:p w14:paraId="762E2219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62DF202D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265E0873" w14:textId="77777777" w:rsidTr="002B5A8A">
        <w:trPr>
          <w:trHeight w:hRule="exact" w:val="240"/>
        </w:trPr>
        <w:tc>
          <w:tcPr>
            <w:tcW w:w="851" w:type="dxa"/>
          </w:tcPr>
          <w:p w14:paraId="18723A01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7127FE92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1941AC7A" w14:textId="77777777" w:rsidTr="002B5A8A">
        <w:tc>
          <w:tcPr>
            <w:tcW w:w="851" w:type="dxa"/>
          </w:tcPr>
          <w:p w14:paraId="0076DC5A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3.</w:t>
            </w:r>
          </w:p>
        </w:tc>
        <w:tc>
          <w:tcPr>
            <w:tcW w:w="9015" w:type="dxa"/>
          </w:tcPr>
          <w:p w14:paraId="6AF0217D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Geltungsbereich</w:t>
            </w:r>
          </w:p>
        </w:tc>
      </w:tr>
      <w:tr w:rsidR="008510C4" w:rsidRPr="00BB683C" w14:paraId="606EDADF" w14:textId="77777777" w:rsidTr="002B5A8A">
        <w:tc>
          <w:tcPr>
            <w:tcW w:w="851" w:type="dxa"/>
          </w:tcPr>
          <w:p w14:paraId="07829147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370BF2D0" w14:textId="77777777" w:rsidR="008510C4" w:rsidRPr="00BB683C" w:rsidRDefault="008510C4" w:rsidP="00212093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8510C4" w:rsidRPr="00BB683C" w14:paraId="0197890F" w14:textId="77777777" w:rsidTr="002B5A8A">
        <w:tc>
          <w:tcPr>
            <w:tcW w:w="851" w:type="dxa"/>
          </w:tcPr>
          <w:p w14:paraId="17CF7787" w14:textId="77777777" w:rsidR="008510C4" w:rsidRPr="00BB683C" w:rsidRDefault="008510C4" w:rsidP="00212093">
            <w:pPr>
              <w:rPr>
                <w:b/>
                <w:sz w:val="22"/>
              </w:rPr>
            </w:pPr>
          </w:p>
        </w:tc>
        <w:tc>
          <w:tcPr>
            <w:tcW w:w="9015" w:type="dxa"/>
          </w:tcPr>
          <w:p w14:paraId="0D2939B5" w14:textId="77777777" w:rsidR="008510C4" w:rsidRPr="00BB683C" w:rsidRDefault="008510C4" w:rsidP="00212093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BB683C">
              <w:rPr>
                <w:sz w:val="22"/>
              </w:rPr>
              <w:t>BBZ Schaffhausen</w:t>
            </w:r>
          </w:p>
        </w:tc>
      </w:tr>
      <w:tr w:rsidR="008510C4" w:rsidRPr="00BB683C" w14:paraId="71797A7B" w14:textId="77777777" w:rsidTr="002B5A8A">
        <w:tc>
          <w:tcPr>
            <w:tcW w:w="851" w:type="dxa"/>
          </w:tcPr>
          <w:p w14:paraId="2D71AFAF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7D6D9EFE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66891D89" w14:textId="77777777" w:rsidTr="002B5A8A">
        <w:tc>
          <w:tcPr>
            <w:tcW w:w="851" w:type="dxa"/>
          </w:tcPr>
          <w:p w14:paraId="5C5CC12F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6D6C15B1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3EF1F1EF" w14:textId="77777777" w:rsidTr="002B5A8A">
        <w:tc>
          <w:tcPr>
            <w:tcW w:w="851" w:type="dxa"/>
          </w:tcPr>
          <w:p w14:paraId="353F02E3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4.</w:t>
            </w:r>
          </w:p>
        </w:tc>
        <w:tc>
          <w:tcPr>
            <w:tcW w:w="9015" w:type="dxa"/>
          </w:tcPr>
          <w:p w14:paraId="4D5E8A71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Prozessübersicht</w:t>
            </w:r>
          </w:p>
        </w:tc>
      </w:tr>
      <w:tr w:rsidR="008510C4" w:rsidRPr="00BB683C" w14:paraId="105A651E" w14:textId="77777777" w:rsidTr="002B5A8A">
        <w:tc>
          <w:tcPr>
            <w:tcW w:w="851" w:type="dxa"/>
          </w:tcPr>
          <w:p w14:paraId="62DB3257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0E272F9D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51F7D24D" w14:textId="77777777" w:rsidTr="002B5A8A">
        <w:tc>
          <w:tcPr>
            <w:tcW w:w="851" w:type="dxa"/>
          </w:tcPr>
          <w:p w14:paraId="76E5E385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38B6A57F" w14:textId="3BEADECD" w:rsidR="008510C4" w:rsidRPr="00BB683C" w:rsidRDefault="00D00096" w:rsidP="00212093">
            <w:pPr>
              <w:rPr>
                <w:sz w:val="22"/>
              </w:rPr>
            </w:pPr>
            <w:r w:rsidRPr="00BB683C">
              <w:rPr>
                <w:sz w:val="22"/>
              </w:rPr>
              <w:t>Das Risikomanagement wird als laufender Prozess verstanden, in dem Planung, Umsetzung, Überwachung und Verbesserung kontinuierlich stattfinden und eine Kultur der Risikolenkung am BBZ entstehen lassen.</w:t>
            </w:r>
          </w:p>
        </w:tc>
      </w:tr>
      <w:tr w:rsidR="008510C4" w:rsidRPr="00BB683C" w14:paraId="0B36D8A9" w14:textId="77777777" w:rsidTr="002B5A8A">
        <w:tc>
          <w:tcPr>
            <w:tcW w:w="851" w:type="dxa"/>
          </w:tcPr>
          <w:p w14:paraId="2B4BB3A8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12380C26" w14:textId="77777777" w:rsidR="008510C4" w:rsidRPr="00BB683C" w:rsidRDefault="008510C4" w:rsidP="00212093">
            <w:pPr>
              <w:rPr>
                <w:sz w:val="22"/>
              </w:rPr>
            </w:pPr>
          </w:p>
        </w:tc>
      </w:tr>
      <w:tr w:rsidR="008510C4" w:rsidRPr="00BB683C" w14:paraId="08990146" w14:textId="77777777" w:rsidTr="002B5A8A">
        <w:tc>
          <w:tcPr>
            <w:tcW w:w="851" w:type="dxa"/>
          </w:tcPr>
          <w:p w14:paraId="5222907A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130D844C" w14:textId="24717DCE" w:rsidR="008510C4" w:rsidRPr="00BB683C" w:rsidRDefault="00D00096" w:rsidP="00D00096">
            <w:pPr>
              <w:rPr>
                <w:sz w:val="22"/>
              </w:rPr>
            </w:pPr>
            <w:r w:rsidRPr="00BB683C">
              <w:rPr>
                <w:sz w:val="22"/>
              </w:rPr>
              <w:t>Welche Störungen, Ereignisse und Fehler, aber</w:t>
            </w:r>
            <w:r w:rsidR="00054906" w:rsidRPr="00BB683C">
              <w:rPr>
                <w:sz w:val="22"/>
              </w:rPr>
              <w:t xml:space="preserve"> auch Chancen können auftreten? </w:t>
            </w:r>
            <w:r w:rsidRPr="00BB683C">
              <w:rPr>
                <w:sz w:val="22"/>
              </w:rPr>
              <w:t>Welche Bedeutung/Auswirkung haben diese für die Schule oder die Anspruchsgruppen?</w:t>
            </w:r>
            <w:r w:rsidR="00054906" w:rsidRPr="00BB683C">
              <w:rPr>
                <w:sz w:val="22"/>
              </w:rPr>
              <w:t xml:space="preserve"> </w:t>
            </w:r>
            <w:r w:rsidRPr="00BB683C">
              <w:rPr>
                <w:sz w:val="22"/>
              </w:rPr>
              <w:t>Wie können sie vermieden, vermindert, anderen überantwortet oder selber getragen werden?</w:t>
            </w:r>
            <w:r w:rsidR="00054906" w:rsidRPr="00BB683C">
              <w:rPr>
                <w:sz w:val="22"/>
              </w:rPr>
              <w:t xml:space="preserve"> </w:t>
            </w:r>
            <w:r w:rsidRPr="00BB683C">
              <w:rPr>
                <w:sz w:val="22"/>
              </w:rPr>
              <w:t>Wie ist die Wirkung der getroffenen Massnahmen?</w:t>
            </w:r>
          </w:p>
        </w:tc>
      </w:tr>
      <w:tr w:rsidR="00D00096" w:rsidRPr="00BB683C" w14:paraId="4003DE91" w14:textId="77777777" w:rsidTr="002B5A8A">
        <w:tc>
          <w:tcPr>
            <w:tcW w:w="851" w:type="dxa"/>
          </w:tcPr>
          <w:p w14:paraId="3ADEE070" w14:textId="77777777" w:rsidR="00D00096" w:rsidRPr="00BB683C" w:rsidRDefault="00D00096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13550740" w14:textId="77777777" w:rsidR="00D00096" w:rsidRPr="00BB683C" w:rsidRDefault="00D00096" w:rsidP="00D00096">
            <w:pPr>
              <w:rPr>
                <w:sz w:val="22"/>
              </w:rPr>
            </w:pPr>
          </w:p>
        </w:tc>
      </w:tr>
      <w:tr w:rsidR="00D00096" w:rsidRPr="00BB683C" w14:paraId="3DB2AB33" w14:textId="77777777" w:rsidTr="002B5A8A">
        <w:tc>
          <w:tcPr>
            <w:tcW w:w="851" w:type="dxa"/>
          </w:tcPr>
          <w:p w14:paraId="7AB4B03B" w14:textId="77777777" w:rsidR="00D00096" w:rsidRPr="00BB683C" w:rsidRDefault="00D00096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00D9C6F7" w14:textId="77777777" w:rsidR="00D00096" w:rsidRPr="00BB683C" w:rsidRDefault="00D00096" w:rsidP="00D00096">
            <w:pPr>
              <w:rPr>
                <w:sz w:val="22"/>
              </w:rPr>
            </w:pPr>
          </w:p>
        </w:tc>
      </w:tr>
      <w:tr w:rsidR="008510C4" w:rsidRPr="00BB683C" w14:paraId="0CE8989F" w14:textId="77777777" w:rsidTr="002B5A8A">
        <w:tc>
          <w:tcPr>
            <w:tcW w:w="851" w:type="dxa"/>
          </w:tcPr>
          <w:p w14:paraId="70D28D9A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5.</w:t>
            </w:r>
          </w:p>
        </w:tc>
        <w:tc>
          <w:tcPr>
            <w:tcW w:w="9015" w:type="dxa"/>
          </w:tcPr>
          <w:p w14:paraId="588F4F78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Prozessbeschreibung</w:t>
            </w:r>
          </w:p>
        </w:tc>
      </w:tr>
      <w:tr w:rsidR="008510C4" w:rsidRPr="00BB683C" w14:paraId="312F4991" w14:textId="77777777" w:rsidTr="002B5A8A">
        <w:tc>
          <w:tcPr>
            <w:tcW w:w="851" w:type="dxa"/>
          </w:tcPr>
          <w:p w14:paraId="5233C010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265BF769" w14:textId="77777777" w:rsidR="008510C4" w:rsidRPr="00BB683C" w:rsidRDefault="008510C4" w:rsidP="00212093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8510C4" w:rsidRPr="00BB683C" w14:paraId="0C8FAC9A" w14:textId="77777777" w:rsidTr="002B5A8A">
        <w:tc>
          <w:tcPr>
            <w:tcW w:w="851" w:type="dxa"/>
          </w:tcPr>
          <w:p w14:paraId="7E261205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2CC0BFFF" w14:textId="63065EE2" w:rsidR="00D63773" w:rsidRDefault="006571F8" w:rsidP="00D63773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Mögliche Risiken</w:t>
            </w:r>
            <w:r w:rsidR="00C22912" w:rsidRPr="00BB683C">
              <w:rPr>
                <w:sz w:val="22"/>
                <w:lang w:val="de-DE"/>
              </w:rPr>
              <w:t xml:space="preserve"> </w:t>
            </w:r>
            <w:r w:rsidR="00242D2D">
              <w:rPr>
                <w:sz w:val="22"/>
                <w:lang w:val="de-DE"/>
              </w:rPr>
              <w:t>und</w:t>
            </w:r>
            <w:r w:rsidR="00C22912" w:rsidRPr="00BB683C">
              <w:rPr>
                <w:sz w:val="22"/>
                <w:lang w:val="de-DE"/>
              </w:rPr>
              <w:t xml:space="preserve"> </w:t>
            </w:r>
            <w:r>
              <w:rPr>
                <w:sz w:val="22"/>
                <w:lang w:val="de-DE"/>
              </w:rPr>
              <w:t>deren</w:t>
            </w:r>
            <w:r w:rsidR="00C22912" w:rsidRPr="00BB683C">
              <w:rPr>
                <w:sz w:val="22"/>
                <w:lang w:val="de-DE"/>
              </w:rPr>
              <w:t xml:space="preserve"> Auswirkungen müssen identifiziert und genau analysiert werden. </w:t>
            </w:r>
            <w:r w:rsidR="00FE3B83" w:rsidRPr="00BB683C">
              <w:rPr>
                <w:sz w:val="22"/>
                <w:lang w:val="de-DE"/>
              </w:rPr>
              <w:t xml:space="preserve">Das </w:t>
            </w:r>
            <w:r w:rsidR="00DF67D6">
              <w:rPr>
                <w:sz w:val="22"/>
                <w:lang w:val="de-DE"/>
              </w:rPr>
              <w:t>zu erwartende</w:t>
            </w:r>
            <w:r w:rsidR="00FE3B83" w:rsidRPr="00BB683C">
              <w:rPr>
                <w:sz w:val="22"/>
                <w:lang w:val="de-DE"/>
              </w:rPr>
              <w:t xml:space="preserve"> Schadenpotenzial muss erkannt und dessen Tragweite </w:t>
            </w:r>
            <w:r w:rsidR="00AC5598" w:rsidRPr="00BB683C">
              <w:rPr>
                <w:sz w:val="22"/>
                <w:lang w:val="de-DE"/>
              </w:rPr>
              <w:t>bewusstgemacht</w:t>
            </w:r>
            <w:r w:rsidR="00FE3B83" w:rsidRPr="00BB683C">
              <w:rPr>
                <w:sz w:val="22"/>
                <w:lang w:val="de-DE"/>
              </w:rPr>
              <w:t xml:space="preserve"> werden. </w:t>
            </w:r>
            <w:r w:rsidR="00EF4D04">
              <w:rPr>
                <w:sz w:val="22"/>
                <w:lang w:val="de-DE"/>
              </w:rPr>
              <w:t xml:space="preserve">Dazu ist </w:t>
            </w:r>
            <w:r w:rsidR="003F05B3">
              <w:rPr>
                <w:sz w:val="22"/>
                <w:lang w:val="de-DE"/>
              </w:rPr>
              <w:t xml:space="preserve">das </w:t>
            </w:r>
            <w:r w:rsidR="00D63773">
              <w:rPr>
                <w:sz w:val="22"/>
                <w:lang w:val="de-DE"/>
              </w:rPr>
              <w:t xml:space="preserve">allgemein geltende </w:t>
            </w:r>
            <w:r w:rsidR="003F05B3">
              <w:rPr>
                <w:sz w:val="22"/>
                <w:lang w:val="de-DE"/>
              </w:rPr>
              <w:t>Prinzip der Risikoanalyse anzuwenden, bzw. das voraussichtliche Schadenpotenzial</w:t>
            </w:r>
            <w:r w:rsidR="00D63773">
              <w:rPr>
                <w:sz w:val="22"/>
                <w:lang w:val="de-DE"/>
              </w:rPr>
              <w:t xml:space="preserve"> ist der möglichen </w:t>
            </w:r>
            <w:proofErr w:type="spellStart"/>
            <w:r w:rsidR="00D63773">
              <w:rPr>
                <w:sz w:val="22"/>
                <w:lang w:val="de-DE"/>
              </w:rPr>
              <w:t>Eintretenswahrscheilichkeit</w:t>
            </w:r>
            <w:proofErr w:type="spellEnd"/>
            <w:r w:rsidR="00D63773">
              <w:rPr>
                <w:sz w:val="22"/>
                <w:lang w:val="de-DE"/>
              </w:rPr>
              <w:t xml:space="preserve"> gegenüber zu stellen. </w:t>
            </w:r>
          </w:p>
          <w:p w14:paraId="7F0687C9" w14:textId="77777777" w:rsidR="00D63773" w:rsidRDefault="00D63773" w:rsidP="00D63773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</w:p>
          <w:p w14:paraId="28B5F266" w14:textId="28AD1129" w:rsidR="00E3493C" w:rsidRDefault="006E2555" w:rsidP="00787CC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Auf Risiken</w:t>
            </w:r>
            <w:r w:rsidR="00E05B02">
              <w:rPr>
                <w:sz w:val="22"/>
                <w:lang w:val="de-DE"/>
              </w:rPr>
              <w:t xml:space="preserve">, bzw. deren </w:t>
            </w:r>
            <w:r w:rsidR="00787CCE">
              <w:rPr>
                <w:sz w:val="22"/>
                <w:lang w:val="de-DE"/>
              </w:rPr>
              <w:t>erfolgte</w:t>
            </w:r>
            <w:r w:rsidR="00E05B02">
              <w:rPr>
                <w:sz w:val="22"/>
                <w:lang w:val="de-DE"/>
              </w:rPr>
              <w:t xml:space="preserve"> Auswirkungen</w:t>
            </w:r>
            <w:r>
              <w:rPr>
                <w:sz w:val="22"/>
                <w:lang w:val="de-DE"/>
              </w:rPr>
              <w:t xml:space="preserve"> sind e</w:t>
            </w:r>
            <w:r w:rsidR="00AC5598" w:rsidRPr="00BB683C">
              <w:rPr>
                <w:sz w:val="22"/>
                <w:lang w:val="de-DE"/>
              </w:rPr>
              <w:t xml:space="preserve">ntsprechende </w:t>
            </w:r>
            <w:proofErr w:type="spellStart"/>
            <w:r w:rsidR="00AC5598" w:rsidRPr="00BB683C">
              <w:rPr>
                <w:sz w:val="22"/>
                <w:lang w:val="de-DE"/>
              </w:rPr>
              <w:t>Massnahmen</w:t>
            </w:r>
            <w:proofErr w:type="spellEnd"/>
            <w:r w:rsidR="00AC5598" w:rsidRPr="00BB683C">
              <w:rPr>
                <w:sz w:val="22"/>
                <w:lang w:val="de-DE"/>
              </w:rPr>
              <w:t xml:space="preserve"> </w:t>
            </w:r>
            <w:r>
              <w:rPr>
                <w:sz w:val="22"/>
                <w:lang w:val="de-DE"/>
              </w:rPr>
              <w:t>zu treffen. D</w:t>
            </w:r>
            <w:r w:rsidR="00AC5598" w:rsidRPr="00BB683C">
              <w:rPr>
                <w:sz w:val="22"/>
                <w:lang w:val="de-DE"/>
              </w:rPr>
              <w:t xml:space="preserve">ie Verantwortlichkeit dazu trägt </w:t>
            </w:r>
            <w:r w:rsidR="00E05B02">
              <w:rPr>
                <w:sz w:val="22"/>
                <w:lang w:val="de-DE"/>
              </w:rPr>
              <w:t xml:space="preserve">prinzipiell jeder einzelne am BBZ, im Besonderen sind die </w:t>
            </w:r>
            <w:r w:rsidR="00E3493C">
              <w:rPr>
                <w:sz w:val="22"/>
                <w:lang w:val="de-DE"/>
              </w:rPr>
              <w:t>Verantwortlichkeiten in den mitgeltenden Unterlagen definiert.</w:t>
            </w:r>
            <w:r w:rsidR="00E05B02">
              <w:rPr>
                <w:sz w:val="22"/>
                <w:lang w:val="de-DE"/>
              </w:rPr>
              <w:t xml:space="preserve"> </w:t>
            </w:r>
            <w:r w:rsidR="00AC5598" w:rsidRPr="00BB683C">
              <w:rPr>
                <w:sz w:val="22"/>
                <w:lang w:val="de-DE"/>
              </w:rPr>
              <w:t xml:space="preserve"> </w:t>
            </w:r>
          </w:p>
          <w:p w14:paraId="2B3B6130" w14:textId="77777777" w:rsidR="002B5A8A" w:rsidRDefault="002B5A8A" w:rsidP="002B5A8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</w:p>
          <w:p w14:paraId="3E039A18" w14:textId="77777777" w:rsidR="002B5A8A" w:rsidRDefault="002B5A8A" w:rsidP="002B5A8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Der Sicherheitsbeauftragte überwacht den Gesamtprozess und meldet Mängel am Sicherheitssystem. Sicherung und Rettung aller Personen am BBZ haben oberste Priorität. Zur Sicherung von Kommunikationsabläufen wird allen Mitarbeitenden eine </w:t>
            </w:r>
            <w:proofErr w:type="spellStart"/>
            <w:r>
              <w:rPr>
                <w:sz w:val="22"/>
                <w:lang w:val="de-DE"/>
              </w:rPr>
              <w:t>To</w:t>
            </w:r>
            <w:proofErr w:type="spellEnd"/>
            <w:r>
              <w:rPr>
                <w:sz w:val="22"/>
                <w:lang w:val="de-DE"/>
              </w:rPr>
              <w:t>-do-Liste abgegeben. Auch steht diese auf der BBZ Homepage zur Verfügung.</w:t>
            </w:r>
          </w:p>
          <w:p w14:paraId="75807255" w14:textId="77777777" w:rsidR="00E3493C" w:rsidRDefault="00E3493C" w:rsidP="00787CC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</w:p>
          <w:p w14:paraId="4BA622DF" w14:textId="77777777" w:rsidR="002B5A8A" w:rsidRDefault="00AC5598" w:rsidP="00787CC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  <w:r w:rsidRPr="00BB683C">
              <w:rPr>
                <w:sz w:val="22"/>
                <w:lang w:val="de-DE"/>
              </w:rPr>
              <w:t>Die Schulleitung</w:t>
            </w:r>
            <w:r w:rsidR="0001238B">
              <w:rPr>
                <w:sz w:val="22"/>
                <w:lang w:val="de-DE"/>
              </w:rPr>
              <w:t xml:space="preserve"> ist für die Organisation und für </w:t>
            </w:r>
            <w:r w:rsidR="00E3493C">
              <w:rPr>
                <w:sz w:val="22"/>
                <w:lang w:val="de-DE"/>
              </w:rPr>
              <w:t xml:space="preserve">die </w:t>
            </w:r>
            <w:r w:rsidR="0001238B">
              <w:rPr>
                <w:sz w:val="22"/>
                <w:lang w:val="de-DE"/>
              </w:rPr>
              <w:t>entsprechende</w:t>
            </w:r>
            <w:r w:rsidR="00E3493C">
              <w:rPr>
                <w:sz w:val="22"/>
                <w:lang w:val="de-DE"/>
              </w:rPr>
              <w:t>n</w:t>
            </w:r>
            <w:r w:rsidR="0001238B">
              <w:rPr>
                <w:sz w:val="22"/>
                <w:lang w:val="de-DE"/>
              </w:rPr>
              <w:t xml:space="preserve"> Anordnungen zuständig. </w:t>
            </w:r>
            <w:r w:rsidR="00366D1A">
              <w:rPr>
                <w:sz w:val="22"/>
                <w:lang w:val="de-DE"/>
              </w:rPr>
              <w:t>Über die erfolgreiche Handhabung des Risikomanagement</w:t>
            </w:r>
            <w:r w:rsidR="002B5A8A">
              <w:rPr>
                <w:sz w:val="22"/>
                <w:lang w:val="de-DE"/>
              </w:rPr>
              <w:t>s</w:t>
            </w:r>
            <w:r w:rsidR="00366D1A">
              <w:rPr>
                <w:sz w:val="22"/>
                <w:lang w:val="de-DE"/>
              </w:rPr>
              <w:t xml:space="preserve"> </w:t>
            </w:r>
            <w:r w:rsidRPr="00BB683C">
              <w:rPr>
                <w:sz w:val="22"/>
                <w:lang w:val="de-DE"/>
              </w:rPr>
              <w:t xml:space="preserve">gibt </w:t>
            </w:r>
            <w:r w:rsidR="00366D1A">
              <w:rPr>
                <w:sz w:val="22"/>
                <w:lang w:val="de-DE"/>
              </w:rPr>
              <w:t xml:space="preserve">sie </w:t>
            </w:r>
            <w:r w:rsidRPr="00BB683C">
              <w:rPr>
                <w:sz w:val="22"/>
                <w:lang w:val="de-DE"/>
              </w:rPr>
              <w:t>Rechenschaft ab innerhalb der jährlichen Standortbestimmung.</w:t>
            </w:r>
            <w:r w:rsidR="0001238B">
              <w:rPr>
                <w:sz w:val="22"/>
                <w:lang w:val="de-DE"/>
              </w:rPr>
              <w:t xml:space="preserve"> </w:t>
            </w:r>
          </w:p>
          <w:p w14:paraId="158E3B8F" w14:textId="134E43CB" w:rsidR="00602B0F" w:rsidRPr="00BB683C" w:rsidRDefault="00602B0F" w:rsidP="002B5A8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</w:p>
        </w:tc>
      </w:tr>
      <w:tr w:rsidR="008510C4" w:rsidRPr="00BB683C" w14:paraId="3BBD020B" w14:textId="77777777" w:rsidTr="002B5A8A">
        <w:tc>
          <w:tcPr>
            <w:tcW w:w="851" w:type="dxa"/>
          </w:tcPr>
          <w:p w14:paraId="7EDD46A4" w14:textId="4DE9F2E1" w:rsidR="008510C4" w:rsidRPr="00BB683C" w:rsidRDefault="008510C4" w:rsidP="00212093">
            <w:pPr>
              <w:rPr>
                <w:sz w:val="22"/>
                <w:lang w:val="de-DE"/>
              </w:rPr>
            </w:pPr>
          </w:p>
        </w:tc>
        <w:tc>
          <w:tcPr>
            <w:tcW w:w="9015" w:type="dxa"/>
          </w:tcPr>
          <w:p w14:paraId="09EBF259" w14:textId="77777777" w:rsidR="008510C4" w:rsidRPr="00BB683C" w:rsidRDefault="008510C4" w:rsidP="00212093">
            <w:pPr>
              <w:rPr>
                <w:sz w:val="22"/>
                <w:lang w:val="de-DE"/>
              </w:rPr>
            </w:pPr>
          </w:p>
        </w:tc>
      </w:tr>
      <w:tr w:rsidR="008510C4" w:rsidRPr="00BB683C" w14:paraId="7F50A4CE" w14:textId="77777777" w:rsidTr="002B5A8A">
        <w:tc>
          <w:tcPr>
            <w:tcW w:w="851" w:type="dxa"/>
          </w:tcPr>
          <w:p w14:paraId="206F7BCE" w14:textId="77777777" w:rsidR="008510C4" w:rsidRPr="00BB683C" w:rsidRDefault="008510C4" w:rsidP="00212093">
            <w:pPr>
              <w:rPr>
                <w:b/>
                <w:sz w:val="22"/>
              </w:rPr>
            </w:pPr>
            <w:r w:rsidRPr="00BB683C">
              <w:rPr>
                <w:b/>
                <w:sz w:val="22"/>
              </w:rPr>
              <w:t>6.</w:t>
            </w:r>
          </w:p>
        </w:tc>
        <w:tc>
          <w:tcPr>
            <w:tcW w:w="9015" w:type="dxa"/>
          </w:tcPr>
          <w:p w14:paraId="6FED57DD" w14:textId="77777777" w:rsidR="008510C4" w:rsidRPr="00BB683C" w:rsidRDefault="008510C4" w:rsidP="00212093">
            <w:pPr>
              <w:pStyle w:val="berschrift3"/>
              <w:rPr>
                <w:rFonts w:cs="Arial"/>
                <w:szCs w:val="22"/>
              </w:rPr>
            </w:pPr>
            <w:r w:rsidRPr="00BB683C">
              <w:rPr>
                <w:rFonts w:cs="Arial"/>
                <w:szCs w:val="22"/>
              </w:rPr>
              <w:t>Mitgeltende Unterlagen</w:t>
            </w:r>
          </w:p>
        </w:tc>
      </w:tr>
      <w:tr w:rsidR="008510C4" w:rsidRPr="00BB683C" w14:paraId="01B454D8" w14:textId="77777777" w:rsidTr="002B5A8A">
        <w:tc>
          <w:tcPr>
            <w:tcW w:w="851" w:type="dxa"/>
          </w:tcPr>
          <w:p w14:paraId="53CF65DA" w14:textId="77777777" w:rsidR="008510C4" w:rsidRPr="00BB683C" w:rsidRDefault="008510C4" w:rsidP="00212093">
            <w:pPr>
              <w:rPr>
                <w:sz w:val="22"/>
              </w:rPr>
            </w:pPr>
          </w:p>
        </w:tc>
        <w:tc>
          <w:tcPr>
            <w:tcW w:w="9015" w:type="dxa"/>
          </w:tcPr>
          <w:p w14:paraId="56832F24" w14:textId="77777777" w:rsidR="008510C4" w:rsidRPr="00BB683C" w:rsidRDefault="008510C4" w:rsidP="00212093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8510C4" w:rsidRPr="00BB683C" w14:paraId="686C086B" w14:textId="77777777" w:rsidTr="002B5A8A">
        <w:tc>
          <w:tcPr>
            <w:tcW w:w="851" w:type="dxa"/>
          </w:tcPr>
          <w:p w14:paraId="7E2790FF" w14:textId="77777777" w:rsidR="008510C4" w:rsidRPr="00BB683C" w:rsidRDefault="008510C4" w:rsidP="00212093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9015" w:type="dxa"/>
          </w:tcPr>
          <w:p w14:paraId="4EF27F20" w14:textId="666AF84B" w:rsidR="008510C4" w:rsidRDefault="006540A0" w:rsidP="008510C4">
            <w:pPr>
              <w:pStyle w:val="Kopfzeile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RT 8.009</w:t>
            </w:r>
            <w:r w:rsidR="00BA69E8" w:rsidRPr="00BB683C">
              <w:rPr>
                <w:sz w:val="22"/>
              </w:rPr>
              <w:t xml:space="preserve">      </w:t>
            </w:r>
            <w:r>
              <w:rPr>
                <w:sz w:val="22"/>
              </w:rPr>
              <w:t>Schulordnung</w:t>
            </w:r>
          </w:p>
          <w:p w14:paraId="5E2114AE" w14:textId="4AA73F24" w:rsidR="006540A0" w:rsidRPr="006540A0" w:rsidRDefault="006540A0" w:rsidP="006540A0">
            <w:pPr>
              <w:pStyle w:val="Kopfzeile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>RT 8.017      Verhalten im Brandfall</w:t>
            </w:r>
          </w:p>
          <w:p w14:paraId="4803BC2D" w14:textId="227D7E71" w:rsidR="008510C4" w:rsidRPr="00BB683C" w:rsidRDefault="00BA69E8" w:rsidP="008510C4">
            <w:pPr>
              <w:pStyle w:val="Kopfzeile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>RT 8.018      Verhalten bei Amok</w:t>
            </w:r>
          </w:p>
          <w:p w14:paraId="5256E41C" w14:textId="0CED63D8" w:rsidR="008510C4" w:rsidRPr="00BB683C" w:rsidRDefault="00BA69E8" w:rsidP="008510C4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>RT 8.030      Benützung SZ und WS</w:t>
            </w:r>
          </w:p>
          <w:p w14:paraId="6A79F73D" w14:textId="0A1BFAF0" w:rsidR="008510C4" w:rsidRPr="00BB683C" w:rsidRDefault="00BA69E8" w:rsidP="008510C4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>RT 8.031      IT Sicherheit Anwendung Mitarbeitende</w:t>
            </w:r>
          </w:p>
          <w:p w14:paraId="640EBCAB" w14:textId="6E7675C4" w:rsidR="008510C4" w:rsidRPr="00BB683C" w:rsidRDefault="00BA69E8" w:rsidP="008510C4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>RT 8.032      IT Sicherheit Anwendung Lernende</w:t>
            </w:r>
          </w:p>
          <w:p w14:paraId="2468E056" w14:textId="18996803" w:rsidR="008510C4" w:rsidRPr="00BB683C" w:rsidRDefault="00BA69E8" w:rsidP="008510C4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 xml:space="preserve">VA </w:t>
            </w:r>
            <w:proofErr w:type="gramStart"/>
            <w:r w:rsidRPr="00BB683C">
              <w:rPr>
                <w:sz w:val="22"/>
              </w:rPr>
              <w:t>4.6.1.01  Verhalten</w:t>
            </w:r>
            <w:proofErr w:type="gramEnd"/>
            <w:r w:rsidRPr="00BB683C">
              <w:rPr>
                <w:sz w:val="22"/>
              </w:rPr>
              <w:t xml:space="preserve"> im Notfall Katastrophenfall</w:t>
            </w:r>
          </w:p>
          <w:p w14:paraId="66731284" w14:textId="5037E952" w:rsidR="008510C4" w:rsidRPr="00BB683C" w:rsidRDefault="00BA69E8" w:rsidP="008510C4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 xml:space="preserve">VA </w:t>
            </w:r>
            <w:proofErr w:type="gramStart"/>
            <w:r w:rsidRPr="00BB683C">
              <w:rPr>
                <w:sz w:val="22"/>
              </w:rPr>
              <w:t>4.6.1.02  Sicherheit</w:t>
            </w:r>
            <w:proofErr w:type="gramEnd"/>
            <w:r w:rsidRPr="00BB683C">
              <w:rPr>
                <w:sz w:val="22"/>
              </w:rPr>
              <w:t xml:space="preserve"> im Schulhaus</w:t>
            </w:r>
          </w:p>
          <w:p w14:paraId="679A3289" w14:textId="4476E60F" w:rsidR="008510C4" w:rsidRPr="00BB683C" w:rsidRDefault="00BA69E8" w:rsidP="008510C4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 xml:space="preserve">VA </w:t>
            </w:r>
            <w:proofErr w:type="gramStart"/>
            <w:r w:rsidRPr="00BB683C">
              <w:rPr>
                <w:sz w:val="22"/>
              </w:rPr>
              <w:t>4.6.2.01  Sanität</w:t>
            </w:r>
            <w:proofErr w:type="gramEnd"/>
            <w:r w:rsidRPr="00BB683C">
              <w:rPr>
                <w:sz w:val="22"/>
              </w:rPr>
              <w:t xml:space="preserve"> Erste Hilfe</w:t>
            </w:r>
          </w:p>
          <w:p w14:paraId="0BFECB67" w14:textId="5FEE01CA" w:rsidR="00BA69E8" w:rsidRPr="00BB683C" w:rsidRDefault="00BA69E8" w:rsidP="008510C4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 xml:space="preserve">VA </w:t>
            </w:r>
            <w:proofErr w:type="gramStart"/>
            <w:r w:rsidRPr="00BB683C">
              <w:rPr>
                <w:sz w:val="22"/>
              </w:rPr>
              <w:t>4.6.3.01  Beschaffung</w:t>
            </w:r>
            <w:proofErr w:type="gramEnd"/>
            <w:r w:rsidRPr="00BB683C">
              <w:rPr>
                <w:sz w:val="22"/>
              </w:rPr>
              <w:t xml:space="preserve"> und Lagerung von gefährlichen Stoffen</w:t>
            </w:r>
          </w:p>
          <w:p w14:paraId="48C79998" w14:textId="2C7873BA" w:rsidR="00BA69E8" w:rsidRPr="00C9233A" w:rsidRDefault="00242D2D" w:rsidP="008510C4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  <w:lang w:val="en-US"/>
              </w:rPr>
            </w:pPr>
            <w:r w:rsidRPr="00C9233A">
              <w:rPr>
                <w:sz w:val="22"/>
                <w:lang w:val="en-US"/>
              </w:rPr>
              <w:t xml:space="preserve">FO 124.01    </w:t>
            </w:r>
            <w:proofErr w:type="spellStart"/>
            <w:r w:rsidR="00546AEA" w:rsidRPr="00C9233A">
              <w:rPr>
                <w:sz w:val="22"/>
                <w:lang w:val="en-US"/>
              </w:rPr>
              <w:t>Risiken</w:t>
            </w:r>
            <w:proofErr w:type="spellEnd"/>
            <w:r w:rsidR="00546AEA" w:rsidRPr="00C9233A">
              <w:rPr>
                <w:sz w:val="22"/>
                <w:lang w:val="en-US"/>
              </w:rPr>
              <w:t xml:space="preserve"> am BBZ </w:t>
            </w:r>
            <w:r w:rsidRPr="00C9233A">
              <w:rPr>
                <w:sz w:val="22"/>
                <w:lang w:val="en-US"/>
              </w:rPr>
              <w:t>To-do-</w:t>
            </w:r>
            <w:proofErr w:type="spellStart"/>
            <w:r w:rsidR="00411B88" w:rsidRPr="00C9233A">
              <w:rPr>
                <w:sz w:val="22"/>
                <w:lang w:val="en-US"/>
              </w:rPr>
              <w:t>Liste</w:t>
            </w:r>
            <w:proofErr w:type="spellEnd"/>
            <w:r w:rsidR="00411B88" w:rsidRPr="00C9233A">
              <w:rPr>
                <w:sz w:val="22"/>
                <w:lang w:val="en-US"/>
              </w:rPr>
              <w:t xml:space="preserve"> </w:t>
            </w:r>
          </w:p>
          <w:p w14:paraId="0A68B1FE" w14:textId="77777777" w:rsidR="005723A4" w:rsidRPr="00BB683C" w:rsidRDefault="005723A4" w:rsidP="008510C4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>FO 124.02    Risiken und Auswirkungen am BBZ</w:t>
            </w:r>
          </w:p>
          <w:p w14:paraId="0A8671C6" w14:textId="36B9C1B6" w:rsidR="005723A4" w:rsidRPr="00BB683C" w:rsidRDefault="005723A4" w:rsidP="008510C4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  <w:r w:rsidRPr="00BB683C">
              <w:rPr>
                <w:sz w:val="22"/>
              </w:rPr>
              <w:t>FO 463.01    Beschaffung und Lagerung von GUS</w:t>
            </w:r>
          </w:p>
          <w:p w14:paraId="219190C8" w14:textId="77777777" w:rsidR="008510C4" w:rsidRPr="00BB683C" w:rsidRDefault="008510C4" w:rsidP="00212093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sz w:val="22"/>
              </w:rPr>
            </w:pPr>
          </w:p>
        </w:tc>
      </w:tr>
    </w:tbl>
    <w:p w14:paraId="1B0C45E8" w14:textId="62C75C85" w:rsidR="008510C4" w:rsidRPr="00BB683C" w:rsidRDefault="008510C4" w:rsidP="00CB1826">
      <w:pPr>
        <w:rPr>
          <w:sz w:val="22"/>
        </w:rPr>
      </w:pPr>
    </w:p>
    <w:sectPr w:rsidR="008510C4" w:rsidRPr="00BB683C" w:rsidSect="00504614">
      <w:headerReference w:type="default" r:id="rId8"/>
      <w:footerReference w:type="default" r:id="rId9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3BB0E" w14:textId="77777777" w:rsidR="00A217F2" w:rsidRDefault="00A217F2" w:rsidP="00A65A93">
      <w:r>
        <w:separator/>
      </w:r>
    </w:p>
  </w:endnote>
  <w:endnote w:type="continuationSeparator" w:id="0">
    <w:p w14:paraId="39DFC2F0" w14:textId="77777777" w:rsidR="00A217F2" w:rsidRDefault="00A217F2" w:rsidP="00A6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05" w:type="dxa"/>
      <w:tblInd w:w="186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2"/>
      <w:gridCol w:w="1459"/>
      <w:gridCol w:w="1162"/>
      <w:gridCol w:w="1511"/>
      <w:gridCol w:w="940"/>
      <w:gridCol w:w="1701"/>
    </w:tblGrid>
    <w:tr w:rsidR="00487D25" w14:paraId="4457D5D5" w14:textId="77777777" w:rsidTr="00504614">
      <w:trPr>
        <w:trHeight w:hRule="exact" w:val="300"/>
      </w:trPr>
      <w:tc>
        <w:tcPr>
          <w:tcW w:w="1132" w:type="dxa"/>
        </w:tcPr>
        <w:p w14:paraId="3A74BEE6" w14:textId="77777777" w:rsidR="00487D25" w:rsidRDefault="00487D25" w:rsidP="00504614">
          <w:pPr>
            <w:pStyle w:val="Fuzeile"/>
            <w:spacing w:before="40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2336" behindDoc="0" locked="0" layoutInCell="1" allowOverlap="1" wp14:anchorId="0F0EF969" wp14:editId="4C82E345">
                <wp:simplePos x="0" y="0"/>
                <wp:positionH relativeFrom="column">
                  <wp:posOffset>-1296035</wp:posOffset>
                </wp:positionH>
                <wp:positionV relativeFrom="paragraph">
                  <wp:posOffset>-175895</wp:posOffset>
                </wp:positionV>
                <wp:extent cx="731208" cy="570865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208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459" w:type="dxa"/>
        </w:tcPr>
        <w:p w14:paraId="2BCC51ED" w14:textId="3499477D" w:rsidR="00487D25" w:rsidRDefault="001B53A3" w:rsidP="00621686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07.03</w:t>
          </w:r>
          <w:r w:rsidR="00621686">
            <w:rPr>
              <w:sz w:val="18"/>
            </w:rPr>
            <w:t>.17</w:t>
          </w:r>
          <w:r w:rsidR="00995A4B">
            <w:rPr>
              <w:sz w:val="18"/>
            </w:rPr>
            <w:t xml:space="preserve"> </w:t>
          </w:r>
          <w:r w:rsidR="00621686">
            <w:rPr>
              <w:sz w:val="18"/>
            </w:rPr>
            <w:t>QL</w:t>
          </w:r>
        </w:p>
      </w:tc>
      <w:tc>
        <w:tcPr>
          <w:tcW w:w="1162" w:type="dxa"/>
        </w:tcPr>
        <w:p w14:paraId="586FB8CE" w14:textId="77777777" w:rsidR="00487D25" w:rsidRDefault="00487D25" w:rsidP="00504614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51118A28" w14:textId="60E728DA" w:rsidR="00487D25" w:rsidRDefault="00C9233A" w:rsidP="00DF0EC4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10.04</w:t>
          </w:r>
          <w:r w:rsidR="00621686">
            <w:rPr>
              <w:sz w:val="18"/>
            </w:rPr>
            <w:t>.17</w:t>
          </w:r>
          <w:r w:rsidR="00487D25">
            <w:rPr>
              <w:sz w:val="18"/>
            </w:rPr>
            <w:t xml:space="preserve"> SL</w:t>
          </w:r>
        </w:p>
        <w:p w14:paraId="28EDF9C6" w14:textId="77777777" w:rsidR="00487D25" w:rsidRDefault="00487D25" w:rsidP="00504614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05.99 / </w:t>
          </w:r>
          <w:proofErr w:type="spellStart"/>
          <w:r>
            <w:rPr>
              <w:sz w:val="18"/>
            </w:rPr>
            <w:t>mz</w:t>
          </w:r>
          <w:proofErr w:type="spellEnd"/>
        </w:p>
      </w:tc>
      <w:tc>
        <w:tcPr>
          <w:tcW w:w="940" w:type="dxa"/>
        </w:tcPr>
        <w:p w14:paraId="4C93E138" w14:textId="77777777" w:rsidR="00487D25" w:rsidRDefault="00487D25" w:rsidP="00504614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6033F556" w14:textId="77585CE0" w:rsidR="00487D25" w:rsidRDefault="00621686" w:rsidP="00487D25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01.08.17</w:t>
          </w:r>
          <w:r w:rsidR="00487D25">
            <w:rPr>
              <w:sz w:val="18"/>
            </w:rPr>
            <w:t xml:space="preserve"> es</w:t>
          </w:r>
        </w:p>
      </w:tc>
    </w:tr>
  </w:tbl>
  <w:p w14:paraId="78B3344D" w14:textId="77777777" w:rsidR="00763602" w:rsidRDefault="007636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BEBEE" w14:textId="77777777" w:rsidR="00A217F2" w:rsidRDefault="00A217F2" w:rsidP="00A65A93">
      <w:r>
        <w:separator/>
      </w:r>
    </w:p>
  </w:footnote>
  <w:footnote w:type="continuationSeparator" w:id="0">
    <w:p w14:paraId="4BF5CF99" w14:textId="77777777" w:rsidR="00A217F2" w:rsidRDefault="00A217F2" w:rsidP="00A65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7"/>
      <w:gridCol w:w="3680"/>
      <w:gridCol w:w="851"/>
      <w:gridCol w:w="567"/>
    </w:tblGrid>
    <w:tr w:rsidR="00763602" w14:paraId="76263032" w14:textId="77777777" w:rsidTr="00A013F2">
      <w:trPr>
        <w:cantSplit/>
      </w:trPr>
      <w:tc>
        <w:tcPr>
          <w:tcW w:w="927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6F029F8C" w14:textId="7BCCCEEE" w:rsidR="00763602" w:rsidRPr="006F262B" w:rsidRDefault="00A013F2" w:rsidP="00504614">
          <w:pPr>
            <w:spacing w:before="120" w:after="12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VA</w:t>
          </w:r>
        </w:p>
      </w:tc>
      <w:tc>
        <w:tcPr>
          <w:tcW w:w="368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52AF9FDD" w14:textId="351BF6B8" w:rsidR="00763602" w:rsidRPr="006F262B" w:rsidRDefault="00621686" w:rsidP="00621686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Management</w:t>
          </w:r>
          <w:r w:rsidR="00763602" w:rsidRPr="006F262B"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t>Risikomanagement</w:t>
          </w:r>
        </w:p>
      </w:tc>
      <w:tc>
        <w:tcPr>
          <w:tcW w:w="851" w:type="dxa"/>
          <w:tcBorders>
            <w:top w:val="single" w:sz="6" w:space="0" w:color="auto"/>
            <w:left w:val="nil"/>
            <w:bottom w:val="single" w:sz="4" w:space="0" w:color="auto"/>
          </w:tcBorders>
        </w:tcPr>
        <w:p w14:paraId="3694D19B" w14:textId="77777777" w:rsidR="00763602" w:rsidRPr="006F262B" w:rsidRDefault="00763602" w:rsidP="00504614">
          <w:pPr>
            <w:spacing w:before="120" w:after="120"/>
            <w:jc w:val="center"/>
            <w:rPr>
              <w:sz w:val="18"/>
              <w:szCs w:val="18"/>
            </w:rPr>
          </w:pPr>
          <w:r w:rsidRPr="006F262B">
            <w:rPr>
              <w:sz w:val="18"/>
              <w:szCs w:val="18"/>
            </w:rPr>
            <w:t>Seite:</w:t>
          </w:r>
        </w:p>
      </w:tc>
      <w:tc>
        <w:tcPr>
          <w:tcW w:w="567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0639E581" w14:textId="77777777" w:rsidR="00763602" w:rsidRPr="006F262B" w:rsidRDefault="00763602" w:rsidP="00504614">
          <w:pPr>
            <w:spacing w:before="120" w:after="120"/>
            <w:jc w:val="center"/>
            <w:rPr>
              <w:sz w:val="18"/>
              <w:szCs w:val="18"/>
            </w:rPr>
          </w:pPr>
          <w:r w:rsidRPr="006F262B">
            <w:rPr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33C1608E" wp14:editId="1CA207B9">
                <wp:simplePos x="0" y="0"/>
                <wp:positionH relativeFrom="column">
                  <wp:posOffset>558800</wp:posOffset>
                </wp:positionH>
                <wp:positionV relativeFrom="paragraph">
                  <wp:posOffset>-71120</wp:posOffset>
                </wp:positionV>
                <wp:extent cx="2200275" cy="752475"/>
                <wp:effectExtent l="0" t="0" r="9525" b="9525"/>
                <wp:wrapNone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F262B">
            <w:rPr>
              <w:sz w:val="18"/>
              <w:szCs w:val="18"/>
            </w:rPr>
            <w:fldChar w:fldCharType="begin"/>
          </w:r>
          <w:r w:rsidRPr="006F262B">
            <w:rPr>
              <w:sz w:val="18"/>
              <w:szCs w:val="18"/>
            </w:rPr>
            <w:instrText xml:space="preserve"> PAGE  \* MERGEFORMAT </w:instrText>
          </w:r>
          <w:r w:rsidRPr="006F262B">
            <w:rPr>
              <w:sz w:val="18"/>
              <w:szCs w:val="18"/>
            </w:rPr>
            <w:fldChar w:fldCharType="separate"/>
          </w:r>
          <w:r w:rsidR="007022DA">
            <w:rPr>
              <w:noProof/>
              <w:sz w:val="18"/>
              <w:szCs w:val="18"/>
            </w:rPr>
            <w:t>1</w:t>
          </w:r>
          <w:r w:rsidRPr="006F262B">
            <w:rPr>
              <w:sz w:val="18"/>
              <w:szCs w:val="18"/>
            </w:rPr>
            <w:fldChar w:fldCharType="end"/>
          </w:r>
          <w:r w:rsidRPr="006F262B">
            <w:rPr>
              <w:sz w:val="18"/>
              <w:szCs w:val="18"/>
            </w:rPr>
            <w:t>/</w:t>
          </w:r>
          <w:r w:rsidRPr="006F262B">
            <w:rPr>
              <w:sz w:val="18"/>
              <w:szCs w:val="18"/>
            </w:rPr>
            <w:fldChar w:fldCharType="begin"/>
          </w:r>
          <w:r w:rsidRPr="006F262B">
            <w:rPr>
              <w:sz w:val="18"/>
              <w:szCs w:val="18"/>
            </w:rPr>
            <w:instrText xml:space="preserve"> NUMPAGES  \* MERGEFORMAT </w:instrText>
          </w:r>
          <w:r w:rsidRPr="006F262B">
            <w:rPr>
              <w:sz w:val="18"/>
              <w:szCs w:val="18"/>
            </w:rPr>
            <w:fldChar w:fldCharType="separate"/>
          </w:r>
          <w:r w:rsidR="007022DA">
            <w:rPr>
              <w:noProof/>
              <w:sz w:val="18"/>
              <w:szCs w:val="18"/>
            </w:rPr>
            <w:t>2</w:t>
          </w:r>
          <w:r w:rsidRPr="006F262B">
            <w:rPr>
              <w:noProof/>
              <w:sz w:val="18"/>
              <w:szCs w:val="18"/>
            </w:rPr>
            <w:fldChar w:fldCharType="end"/>
          </w:r>
        </w:p>
      </w:tc>
    </w:tr>
    <w:tr w:rsidR="00763602" w14:paraId="460F1990" w14:textId="77777777" w:rsidTr="00A013F2">
      <w:trPr>
        <w:cantSplit/>
      </w:trPr>
      <w:tc>
        <w:tcPr>
          <w:tcW w:w="927" w:type="dxa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</w:tcPr>
        <w:p w14:paraId="3213E00E" w14:textId="2C96468B" w:rsidR="00763602" w:rsidRPr="006F262B" w:rsidRDefault="007D4510" w:rsidP="00504614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A013F2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</w:t>
          </w:r>
          <w:r w:rsidR="00A013F2">
            <w:rPr>
              <w:sz w:val="18"/>
              <w:szCs w:val="18"/>
            </w:rPr>
            <w:t>.4.01</w:t>
          </w:r>
        </w:p>
      </w:tc>
      <w:tc>
        <w:tcPr>
          <w:tcW w:w="509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875686" w14:textId="45A5C1B8" w:rsidR="00763602" w:rsidRPr="006F262B" w:rsidRDefault="00A013F2" w:rsidP="00C16B3D">
          <w:pPr>
            <w:spacing w:before="120" w:after="12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Risikomanagement</w:t>
          </w:r>
        </w:p>
      </w:tc>
    </w:tr>
  </w:tbl>
  <w:p w14:paraId="4C547CB5" w14:textId="77777777" w:rsidR="00763602" w:rsidRDefault="0076360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F94"/>
    <w:multiLevelType w:val="hybridMultilevel"/>
    <w:tmpl w:val="7EA01DF2"/>
    <w:lvl w:ilvl="0" w:tplc="54D25C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2B1"/>
    <w:multiLevelType w:val="hybridMultilevel"/>
    <w:tmpl w:val="8048B4D2"/>
    <w:lvl w:ilvl="0" w:tplc="54D25C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0923"/>
    <w:multiLevelType w:val="hybridMultilevel"/>
    <w:tmpl w:val="467A4B92"/>
    <w:lvl w:ilvl="0" w:tplc="54D25C7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C52AE"/>
    <w:multiLevelType w:val="hybridMultilevel"/>
    <w:tmpl w:val="EFAEB0C2"/>
    <w:lvl w:ilvl="0" w:tplc="54D25C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77516"/>
    <w:multiLevelType w:val="hybridMultilevel"/>
    <w:tmpl w:val="8264B894"/>
    <w:lvl w:ilvl="0" w:tplc="5FAE27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31C86"/>
    <w:multiLevelType w:val="hybridMultilevel"/>
    <w:tmpl w:val="28EEA1AC"/>
    <w:lvl w:ilvl="0" w:tplc="342023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E5C28"/>
    <w:multiLevelType w:val="hybridMultilevel"/>
    <w:tmpl w:val="8336579E"/>
    <w:lvl w:ilvl="0" w:tplc="54D25C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E7D83"/>
    <w:multiLevelType w:val="hybridMultilevel"/>
    <w:tmpl w:val="F400250C"/>
    <w:lvl w:ilvl="0" w:tplc="D0E8D8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A0173"/>
    <w:multiLevelType w:val="hybridMultilevel"/>
    <w:tmpl w:val="74B258B8"/>
    <w:lvl w:ilvl="0" w:tplc="D9A425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F45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66ACB"/>
    <w:multiLevelType w:val="hybridMultilevel"/>
    <w:tmpl w:val="75A0DAA8"/>
    <w:lvl w:ilvl="0" w:tplc="6D1E84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3F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6A4094"/>
    <w:multiLevelType w:val="hybridMultilevel"/>
    <w:tmpl w:val="C7BE53EC"/>
    <w:lvl w:ilvl="0" w:tplc="0B2AC4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B335D"/>
    <w:multiLevelType w:val="hybridMultilevel"/>
    <w:tmpl w:val="9C469412"/>
    <w:lvl w:ilvl="0" w:tplc="97CAC1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C50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765ACA"/>
    <w:multiLevelType w:val="hybridMultilevel"/>
    <w:tmpl w:val="84DC5614"/>
    <w:lvl w:ilvl="0" w:tplc="19485E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145AD"/>
    <w:multiLevelType w:val="hybridMultilevel"/>
    <w:tmpl w:val="6074C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57268"/>
    <w:multiLevelType w:val="hybridMultilevel"/>
    <w:tmpl w:val="33908F2C"/>
    <w:lvl w:ilvl="0" w:tplc="090EA9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30497"/>
    <w:multiLevelType w:val="hybridMultilevel"/>
    <w:tmpl w:val="59FC95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A3A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5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7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6"/>
  </w:num>
  <w:num w:numId="17">
    <w:abstractNumId w:val="19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F"/>
    <w:rsid w:val="0001238B"/>
    <w:rsid w:val="00022285"/>
    <w:rsid w:val="00027D55"/>
    <w:rsid w:val="00036092"/>
    <w:rsid w:val="000419D7"/>
    <w:rsid w:val="00054906"/>
    <w:rsid w:val="00072712"/>
    <w:rsid w:val="000737C3"/>
    <w:rsid w:val="00073D40"/>
    <w:rsid w:val="00074D6B"/>
    <w:rsid w:val="00082556"/>
    <w:rsid w:val="000B6828"/>
    <w:rsid w:val="000D1B5D"/>
    <w:rsid w:val="000F205E"/>
    <w:rsid w:val="000F24C2"/>
    <w:rsid w:val="0011080D"/>
    <w:rsid w:val="001108B0"/>
    <w:rsid w:val="0012136C"/>
    <w:rsid w:val="00140422"/>
    <w:rsid w:val="001412F6"/>
    <w:rsid w:val="00154E7D"/>
    <w:rsid w:val="0015553B"/>
    <w:rsid w:val="00183AE6"/>
    <w:rsid w:val="001903D0"/>
    <w:rsid w:val="001A4FE9"/>
    <w:rsid w:val="001B53A3"/>
    <w:rsid w:val="001C143C"/>
    <w:rsid w:val="002301D2"/>
    <w:rsid w:val="0023647F"/>
    <w:rsid w:val="00242D2D"/>
    <w:rsid w:val="00251160"/>
    <w:rsid w:val="00277D51"/>
    <w:rsid w:val="00290D4B"/>
    <w:rsid w:val="002A63CB"/>
    <w:rsid w:val="002B0D20"/>
    <w:rsid w:val="002B5A8A"/>
    <w:rsid w:val="002C55F6"/>
    <w:rsid w:val="002E788B"/>
    <w:rsid w:val="00302621"/>
    <w:rsid w:val="00302689"/>
    <w:rsid w:val="00303E72"/>
    <w:rsid w:val="00307064"/>
    <w:rsid w:val="003071D7"/>
    <w:rsid w:val="003214BA"/>
    <w:rsid w:val="00335BC7"/>
    <w:rsid w:val="00361F1F"/>
    <w:rsid w:val="00366D1A"/>
    <w:rsid w:val="00371880"/>
    <w:rsid w:val="00374F1D"/>
    <w:rsid w:val="003910DF"/>
    <w:rsid w:val="003F05B3"/>
    <w:rsid w:val="00411B88"/>
    <w:rsid w:val="00414C34"/>
    <w:rsid w:val="00415C19"/>
    <w:rsid w:val="00424EE3"/>
    <w:rsid w:val="00427AFD"/>
    <w:rsid w:val="00432DA9"/>
    <w:rsid w:val="00434868"/>
    <w:rsid w:val="0045730E"/>
    <w:rsid w:val="0046453E"/>
    <w:rsid w:val="0048025E"/>
    <w:rsid w:val="00484BC8"/>
    <w:rsid w:val="00487D25"/>
    <w:rsid w:val="00497D4F"/>
    <w:rsid w:val="004A539A"/>
    <w:rsid w:val="004B6247"/>
    <w:rsid w:val="004B73BE"/>
    <w:rsid w:val="004E3E5A"/>
    <w:rsid w:val="004F4E1C"/>
    <w:rsid w:val="00504614"/>
    <w:rsid w:val="00505A30"/>
    <w:rsid w:val="0050746B"/>
    <w:rsid w:val="00507BB6"/>
    <w:rsid w:val="00520C59"/>
    <w:rsid w:val="00537C53"/>
    <w:rsid w:val="005406A1"/>
    <w:rsid w:val="00542E97"/>
    <w:rsid w:val="00546AEA"/>
    <w:rsid w:val="00562093"/>
    <w:rsid w:val="00565B0C"/>
    <w:rsid w:val="005723A4"/>
    <w:rsid w:val="0058148F"/>
    <w:rsid w:val="00593D25"/>
    <w:rsid w:val="005C756E"/>
    <w:rsid w:val="005C7A60"/>
    <w:rsid w:val="005D149E"/>
    <w:rsid w:val="005D3BE5"/>
    <w:rsid w:val="005D513D"/>
    <w:rsid w:val="00602B0F"/>
    <w:rsid w:val="00614F8F"/>
    <w:rsid w:val="00621686"/>
    <w:rsid w:val="0063016A"/>
    <w:rsid w:val="00631152"/>
    <w:rsid w:val="0063552F"/>
    <w:rsid w:val="00636182"/>
    <w:rsid w:val="006361DA"/>
    <w:rsid w:val="00650860"/>
    <w:rsid w:val="00651E0E"/>
    <w:rsid w:val="006540A0"/>
    <w:rsid w:val="006571F8"/>
    <w:rsid w:val="00670FB0"/>
    <w:rsid w:val="00675356"/>
    <w:rsid w:val="00690BFB"/>
    <w:rsid w:val="006A0B92"/>
    <w:rsid w:val="006A5213"/>
    <w:rsid w:val="006B1C40"/>
    <w:rsid w:val="006D658F"/>
    <w:rsid w:val="006D7CBB"/>
    <w:rsid w:val="006E2555"/>
    <w:rsid w:val="006E263B"/>
    <w:rsid w:val="006F262B"/>
    <w:rsid w:val="006F65F4"/>
    <w:rsid w:val="006F6E35"/>
    <w:rsid w:val="007022DA"/>
    <w:rsid w:val="00723F4A"/>
    <w:rsid w:val="00724413"/>
    <w:rsid w:val="007321CC"/>
    <w:rsid w:val="0073326B"/>
    <w:rsid w:val="00736992"/>
    <w:rsid w:val="0074423C"/>
    <w:rsid w:val="00763602"/>
    <w:rsid w:val="00767195"/>
    <w:rsid w:val="007673EC"/>
    <w:rsid w:val="00787CCE"/>
    <w:rsid w:val="00787DA8"/>
    <w:rsid w:val="00795F59"/>
    <w:rsid w:val="00796EF5"/>
    <w:rsid w:val="007B335D"/>
    <w:rsid w:val="007B5781"/>
    <w:rsid w:val="007D4510"/>
    <w:rsid w:val="00810124"/>
    <w:rsid w:val="008134F4"/>
    <w:rsid w:val="008462DD"/>
    <w:rsid w:val="008510C4"/>
    <w:rsid w:val="00856922"/>
    <w:rsid w:val="008675FE"/>
    <w:rsid w:val="00871C7B"/>
    <w:rsid w:val="008831D1"/>
    <w:rsid w:val="008A111C"/>
    <w:rsid w:val="008C416D"/>
    <w:rsid w:val="008D20CF"/>
    <w:rsid w:val="008E262E"/>
    <w:rsid w:val="008F2D51"/>
    <w:rsid w:val="00906FDF"/>
    <w:rsid w:val="00907D67"/>
    <w:rsid w:val="00917DA0"/>
    <w:rsid w:val="009375FA"/>
    <w:rsid w:val="00943CB0"/>
    <w:rsid w:val="0095728A"/>
    <w:rsid w:val="00957CD7"/>
    <w:rsid w:val="0097215D"/>
    <w:rsid w:val="009774C0"/>
    <w:rsid w:val="00982863"/>
    <w:rsid w:val="009856E9"/>
    <w:rsid w:val="00995A4B"/>
    <w:rsid w:val="009C6914"/>
    <w:rsid w:val="009E462E"/>
    <w:rsid w:val="009E5583"/>
    <w:rsid w:val="009F1825"/>
    <w:rsid w:val="00A013F2"/>
    <w:rsid w:val="00A13474"/>
    <w:rsid w:val="00A217F2"/>
    <w:rsid w:val="00A24C2B"/>
    <w:rsid w:val="00A36B94"/>
    <w:rsid w:val="00A401A5"/>
    <w:rsid w:val="00A65A93"/>
    <w:rsid w:val="00A67C74"/>
    <w:rsid w:val="00A93F6F"/>
    <w:rsid w:val="00AB3588"/>
    <w:rsid w:val="00AC5598"/>
    <w:rsid w:val="00AE680B"/>
    <w:rsid w:val="00AF0B02"/>
    <w:rsid w:val="00AF2400"/>
    <w:rsid w:val="00AF2CEF"/>
    <w:rsid w:val="00AF2F87"/>
    <w:rsid w:val="00B22F6D"/>
    <w:rsid w:val="00B25AAA"/>
    <w:rsid w:val="00B4004C"/>
    <w:rsid w:val="00B40E11"/>
    <w:rsid w:val="00B51737"/>
    <w:rsid w:val="00B560E2"/>
    <w:rsid w:val="00B655F8"/>
    <w:rsid w:val="00B72CA1"/>
    <w:rsid w:val="00B8358F"/>
    <w:rsid w:val="00B865C2"/>
    <w:rsid w:val="00B86EF1"/>
    <w:rsid w:val="00B9491D"/>
    <w:rsid w:val="00BA69E8"/>
    <w:rsid w:val="00BB499A"/>
    <w:rsid w:val="00BB683C"/>
    <w:rsid w:val="00BC0DDE"/>
    <w:rsid w:val="00BC3265"/>
    <w:rsid w:val="00BC56E5"/>
    <w:rsid w:val="00BC70B5"/>
    <w:rsid w:val="00BF7419"/>
    <w:rsid w:val="00C12506"/>
    <w:rsid w:val="00C16B3D"/>
    <w:rsid w:val="00C22912"/>
    <w:rsid w:val="00C45E3F"/>
    <w:rsid w:val="00C51C4D"/>
    <w:rsid w:val="00C6262C"/>
    <w:rsid w:val="00C63877"/>
    <w:rsid w:val="00C74020"/>
    <w:rsid w:val="00C82FA5"/>
    <w:rsid w:val="00C9233A"/>
    <w:rsid w:val="00CA3C1C"/>
    <w:rsid w:val="00CA6F16"/>
    <w:rsid w:val="00CB1826"/>
    <w:rsid w:val="00CC3DD1"/>
    <w:rsid w:val="00CD39DF"/>
    <w:rsid w:val="00D00096"/>
    <w:rsid w:val="00D14650"/>
    <w:rsid w:val="00D41B51"/>
    <w:rsid w:val="00D63773"/>
    <w:rsid w:val="00D85BAF"/>
    <w:rsid w:val="00DA4513"/>
    <w:rsid w:val="00DB196F"/>
    <w:rsid w:val="00DC3711"/>
    <w:rsid w:val="00DE2912"/>
    <w:rsid w:val="00DF2787"/>
    <w:rsid w:val="00DF33E2"/>
    <w:rsid w:val="00DF67D6"/>
    <w:rsid w:val="00E02E90"/>
    <w:rsid w:val="00E05B02"/>
    <w:rsid w:val="00E3283E"/>
    <w:rsid w:val="00E3493C"/>
    <w:rsid w:val="00E53136"/>
    <w:rsid w:val="00E612DC"/>
    <w:rsid w:val="00E62BCD"/>
    <w:rsid w:val="00E659E6"/>
    <w:rsid w:val="00E65AA4"/>
    <w:rsid w:val="00E83091"/>
    <w:rsid w:val="00E9450D"/>
    <w:rsid w:val="00EA3D37"/>
    <w:rsid w:val="00EA7D1C"/>
    <w:rsid w:val="00EB6897"/>
    <w:rsid w:val="00EC4E1E"/>
    <w:rsid w:val="00ED41C8"/>
    <w:rsid w:val="00EE367A"/>
    <w:rsid w:val="00EF4D04"/>
    <w:rsid w:val="00F06CC0"/>
    <w:rsid w:val="00F20E7F"/>
    <w:rsid w:val="00F2585B"/>
    <w:rsid w:val="00F42174"/>
    <w:rsid w:val="00F549F0"/>
    <w:rsid w:val="00F63D8F"/>
    <w:rsid w:val="00F7617D"/>
    <w:rsid w:val="00F77510"/>
    <w:rsid w:val="00F83306"/>
    <w:rsid w:val="00FA1EEC"/>
    <w:rsid w:val="00FC61C6"/>
    <w:rsid w:val="00FE3B83"/>
    <w:rsid w:val="00FE5EC2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0F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8510C4"/>
    <w:pPr>
      <w:keepNext/>
      <w:outlineLvl w:val="2"/>
    </w:pPr>
    <w:rPr>
      <w:rFonts w:eastAsia="Times New Roman" w:cs="Times New Roman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58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65A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5A93"/>
  </w:style>
  <w:style w:type="paragraph" w:styleId="Fuzeile">
    <w:name w:val="footer"/>
    <w:basedOn w:val="Standard"/>
    <w:link w:val="FuzeileZchn"/>
    <w:unhideWhenUsed/>
    <w:rsid w:val="00A65A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5A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C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C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rsid w:val="008510C4"/>
    <w:rPr>
      <w:rFonts w:eastAsia="Times New Roman" w:cs="Times New Roman"/>
      <w:b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6CFCE-5C67-634F-BDC9-64D8FBF00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D0033-A20F-40E4-8950-B86AC29C43D9}"/>
</file>

<file path=customXml/itemProps3.xml><?xml version="1.0" encoding="utf-8"?>
<ds:datastoreItem xmlns:ds="http://schemas.openxmlformats.org/officeDocument/2006/customXml" ds:itemID="{96403FB9-3685-4DCD-8984-B32A8AD063FA}"/>
</file>

<file path=customXml/itemProps4.xml><?xml version="1.0" encoding="utf-8"?>
<ds:datastoreItem xmlns:ds="http://schemas.openxmlformats.org/officeDocument/2006/customXml" ds:itemID="{4E2277D0-3653-4805-984D-DF4E7BB3E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bruetsch</dc:creator>
  <cp:lastModifiedBy>Microsoft Office-Anwender</cp:lastModifiedBy>
  <cp:revision>19</cp:revision>
  <cp:lastPrinted>2017-05-23T09:11:00Z</cp:lastPrinted>
  <dcterms:created xsi:type="dcterms:W3CDTF">2017-02-16T06:58:00Z</dcterms:created>
  <dcterms:modified xsi:type="dcterms:W3CDTF">2017-05-23T09:11:00Z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1006800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